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proofErr w:type="gramStart"/>
            <w:r w:rsidRPr="006F09BC">
              <w:rPr>
                <w:rFonts w:ascii="Arial" w:eastAsia="Times New Roman" w:hAnsi="Arial" w:cs="Arial"/>
                <w:b/>
                <w:bCs/>
                <w:sz w:val="20"/>
                <w:szCs w:val="20"/>
                <w:lang w:eastAsia="es-ES_tradnl"/>
              </w:rPr>
              <w:t>PERIODO A PAGAR</w:t>
            </w:r>
            <w:proofErr w:type="gramEnd"/>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579FFAFF" w:rsidR="002175AE" w:rsidRPr="006F09BC" w:rsidRDefault="00F638D6"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9</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6FE31E5D" w:rsidR="002175AE" w:rsidRPr="006F09BC" w:rsidRDefault="00031194" w:rsidP="00031194">
            <w:pPr>
              <w:jc w:val="center"/>
            </w:pPr>
            <w:r w:rsidRPr="00031194">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024430F3" w:rsidR="002175AE" w:rsidRPr="006F09BC" w:rsidRDefault="00D0328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r w:rsidR="00031194">
              <w:rPr>
                <w:rFonts w:ascii="Arial" w:eastAsia="Times New Roman" w:hAnsi="Arial" w:cs="Arial"/>
                <w:b/>
                <w:bCs/>
                <w:sz w:val="20"/>
                <w:szCs w:val="20"/>
                <w:lang w:eastAsia="es-ES"/>
              </w:rPr>
              <w:t>/0</w:t>
            </w:r>
            <w:r w:rsidR="00F638D6">
              <w:rPr>
                <w:rFonts w:ascii="Arial" w:eastAsia="Times New Roman" w:hAnsi="Arial" w:cs="Arial"/>
                <w:b/>
                <w:bCs/>
                <w:sz w:val="20"/>
                <w:szCs w:val="20"/>
                <w:lang w:eastAsia="es-ES"/>
              </w:rPr>
              <w:t>9</w:t>
            </w:r>
            <w:r w:rsidR="00031194">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463DE6FF" w:rsidR="002175AE" w:rsidRPr="006F09BC" w:rsidRDefault="00903FA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F638D6">
              <w:rPr>
                <w:rFonts w:ascii="Arial" w:eastAsia="Times New Roman" w:hAnsi="Arial" w:cs="Arial"/>
                <w:b/>
                <w:bCs/>
                <w:sz w:val="20"/>
                <w:szCs w:val="20"/>
                <w:lang w:eastAsia="es-ES"/>
              </w:rPr>
              <w:t>0</w:t>
            </w:r>
            <w:r w:rsidR="417DDA60" w:rsidRPr="7D1789CB">
              <w:rPr>
                <w:rFonts w:ascii="Arial" w:eastAsia="Times New Roman" w:hAnsi="Arial" w:cs="Arial"/>
                <w:b/>
                <w:bCs/>
                <w:sz w:val="20"/>
                <w:szCs w:val="20"/>
                <w:lang w:eastAsia="es-ES"/>
              </w:rPr>
              <w:t>/0</w:t>
            </w:r>
            <w:r w:rsidR="00F638D6">
              <w:rPr>
                <w:rFonts w:ascii="Arial" w:eastAsia="Times New Roman" w:hAnsi="Arial" w:cs="Arial"/>
                <w:b/>
                <w:bCs/>
                <w:sz w:val="20"/>
                <w:szCs w:val="20"/>
                <w:lang w:eastAsia="es-ES"/>
              </w:rPr>
              <w:t>9</w:t>
            </w:r>
            <w:r w:rsidR="417DDA60" w:rsidRPr="7D1789CB">
              <w:rPr>
                <w:rFonts w:ascii="Arial" w:eastAsia="Times New Roman" w:hAnsi="Arial" w:cs="Arial"/>
                <w:b/>
                <w:bCs/>
                <w:sz w:val="20"/>
                <w:szCs w:val="20"/>
                <w:lang w:eastAsia="es-ES"/>
              </w:rPr>
              <w:t>/202</w:t>
            </w:r>
            <w:r w:rsidR="00031194">
              <w:rPr>
                <w:rFonts w:ascii="Arial" w:eastAsia="Times New Roman" w:hAnsi="Arial" w:cs="Arial"/>
                <w:b/>
                <w:bCs/>
                <w:sz w:val="20"/>
                <w:szCs w:val="20"/>
                <w:lang w:eastAsia="es-ES"/>
              </w:rPr>
              <w:t>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F7690EE" w:rsidR="002175AE" w:rsidRPr="006F09BC" w:rsidRDefault="00597376"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p>
        </w:tc>
        <w:tc>
          <w:tcPr>
            <w:tcW w:w="590" w:type="dxa"/>
            <w:shd w:val="clear" w:color="auto" w:fill="FFFFFF" w:themeFill="background1"/>
            <w:noWrap/>
            <w:vAlign w:val="center"/>
            <w:hideMark/>
          </w:tcPr>
          <w:p w14:paraId="1004989B" w14:textId="067328FA" w:rsidR="002175AE" w:rsidRPr="006F09BC" w:rsidRDefault="00F638D6"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w:t>
            </w:r>
            <w:r w:rsidR="00031194">
              <w:rPr>
                <w:rFonts w:ascii="Arial" w:eastAsia="Times New Roman" w:hAnsi="Arial" w:cs="Arial"/>
                <w:b/>
                <w:bCs/>
                <w:sz w:val="20"/>
                <w:szCs w:val="20"/>
                <w:lang w:eastAsia="es-ES"/>
              </w:rPr>
              <w:t>0</w:t>
            </w:r>
          </w:p>
        </w:tc>
        <w:tc>
          <w:tcPr>
            <w:tcW w:w="712" w:type="dxa"/>
            <w:shd w:val="clear" w:color="auto" w:fill="FFFFFF" w:themeFill="background1"/>
            <w:noWrap/>
            <w:vAlign w:val="center"/>
            <w:hideMark/>
          </w:tcPr>
          <w:p w14:paraId="1B5F2C61" w14:textId="48E3763A" w:rsidR="002175AE" w:rsidRPr="006F09BC" w:rsidRDefault="0003119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8A6428">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7A659C55" w:rsidR="002175AE" w:rsidRPr="00945A47" w:rsidRDefault="00031194"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LUISA FERNANDA AVILA MARTINEZ</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4E0969D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31194">
              <w:rPr>
                <w:rFonts w:ascii="Arial" w:eastAsia="Times New Roman" w:hAnsi="Arial" w:cs="Arial"/>
                <w:b/>
                <w:bCs/>
                <w:sz w:val="20"/>
                <w:szCs w:val="20"/>
                <w:lang w:eastAsia="es-ES_tradnl"/>
              </w:rPr>
              <w:t>1032372769</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BE5FA6A"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6B79C7">
              <w:rPr>
                <w:rFonts w:ascii="Arial" w:eastAsia="Times New Roman" w:hAnsi="Arial" w:cs="Arial"/>
                <w:b/>
                <w:bCs/>
                <w:sz w:val="20"/>
                <w:szCs w:val="20"/>
                <w:lang w:eastAsia="es-ES_tradnl"/>
              </w:rPr>
              <w:t>1032372769</w:t>
            </w:r>
          </w:p>
        </w:tc>
        <w:tc>
          <w:tcPr>
            <w:tcW w:w="1838" w:type="dxa"/>
            <w:gridSpan w:val="3"/>
            <w:noWrap/>
            <w:vAlign w:val="center"/>
            <w:hideMark/>
          </w:tcPr>
          <w:p w14:paraId="68F483F2" w14:textId="119C1A6B" w:rsidR="002175AE" w:rsidRPr="00945A47" w:rsidRDefault="00031194"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GGC-0020-2025</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F9E662C" w:rsidR="002175AE" w:rsidRPr="00945A47" w:rsidRDefault="00FB267B" w:rsidP="00446762">
            <w:pPr>
              <w:rPr>
                <w:rFonts w:ascii="Arial" w:eastAsia="Times New Roman" w:hAnsi="Arial" w:cs="Arial"/>
                <w:sz w:val="20"/>
                <w:szCs w:val="20"/>
                <w:lang w:eastAsia="es-ES_tradnl"/>
              </w:rPr>
            </w:pPr>
            <w:r w:rsidRPr="00FB267B">
              <w:rPr>
                <w:rFonts w:ascii="Arial" w:eastAsia="Times New Roman" w:hAnsi="Arial" w:cs="Arial"/>
                <w:sz w:val="20"/>
                <w:szCs w:val="20"/>
                <w:lang w:eastAsia="es-ES_tradnl"/>
              </w:rPr>
              <w:t>Apoyar en la estructuración, implementación y seguimiento al cumplimiento de metas asociadas a la planeación estratégica de la Oficina de Asuntos Ambientales y Sociales.</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FB267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 xml:space="preserve">actividad si cuenta con evidencia de cumplimiento en el </w:t>
            </w:r>
            <w:proofErr w:type="gramStart"/>
            <w:r w:rsidR="00605BA2" w:rsidRPr="00C815ED">
              <w:rPr>
                <w:rFonts w:ascii="Arial" w:eastAsia="Times New Roman" w:hAnsi="Arial" w:cs="Arial"/>
                <w:b/>
                <w:bCs/>
                <w:sz w:val="20"/>
                <w:szCs w:val="20"/>
                <w:lang w:eastAsia="es-ES_tradnl"/>
              </w:rPr>
              <w:t>link</w:t>
            </w:r>
            <w:proofErr w:type="gramEnd"/>
            <w:r w:rsidR="00605BA2" w:rsidRPr="00C815ED">
              <w:rPr>
                <w:rFonts w:ascii="Arial" w:eastAsia="Times New Roman" w:hAnsi="Arial" w:cs="Arial"/>
                <w:b/>
                <w:bCs/>
                <w:sz w:val="20"/>
                <w:szCs w:val="20"/>
                <w:lang w:eastAsia="es-ES_tradnl"/>
              </w:rPr>
              <w:t xml:space="preserve">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7158D462" w14:textId="60DCFD20" w:rsidR="002175AE" w:rsidRPr="00945A47" w:rsidRDefault="00031194" w:rsidP="0003699D">
            <w:pPr>
              <w:jc w:val="both"/>
              <w:rPr>
                <w:rFonts w:ascii="Arial" w:eastAsia="Times New Roman" w:hAnsi="Arial" w:cs="Arial"/>
                <w:color w:val="FF0000"/>
                <w:sz w:val="20"/>
                <w:szCs w:val="20"/>
                <w:lang w:eastAsia="es-ES_tradnl"/>
              </w:rPr>
            </w:pPr>
            <w:r w:rsidRPr="00031194">
              <w:rPr>
                <w:rFonts w:ascii="Arial" w:eastAsia="Times New Roman" w:hAnsi="Arial" w:cs="Arial"/>
                <w:sz w:val="20"/>
                <w:szCs w:val="20"/>
                <w:lang w:eastAsia="es-ES_tradnl"/>
              </w:rPr>
              <w:t>Apoyar la ejecución de los procesos relacionados con la planeación estratégica, garantizando la adecuada implementación de las actividades previstas en el Plan de Acción Anual y el Plan Estratégico Sectorial</w:t>
            </w:r>
            <w:r w:rsidRPr="00031194">
              <w:rPr>
                <w:rFonts w:ascii="Arial" w:eastAsia="Times New Roman" w:hAnsi="Arial" w:cs="Arial"/>
                <w:color w:val="FF0000"/>
                <w:sz w:val="20"/>
                <w:szCs w:val="20"/>
                <w:lang w:eastAsia="es-ES_tradnl"/>
              </w:rPr>
              <w:t>.</w:t>
            </w:r>
          </w:p>
        </w:tc>
        <w:tc>
          <w:tcPr>
            <w:tcW w:w="4903" w:type="dxa"/>
            <w:gridSpan w:val="8"/>
            <w:vMerge w:val="restart"/>
            <w:vAlign w:val="center"/>
            <w:hideMark/>
          </w:tcPr>
          <w:p w14:paraId="42D3BEA6" w14:textId="11A3C9C3" w:rsidR="00E829D3" w:rsidRDefault="00E829D3" w:rsidP="00925E2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6A32F6">
              <w:rPr>
                <w:rFonts w:ascii="Arial" w:eastAsia="Times New Roman" w:hAnsi="Arial" w:cs="Arial"/>
                <w:sz w:val="20"/>
                <w:szCs w:val="20"/>
                <w:lang w:eastAsia="es-ES_tradnl"/>
              </w:rPr>
              <w:t xml:space="preserve"> se realiza el seguimiento con los responsables de la ejecución de cada uno de los indicadores</w:t>
            </w:r>
            <w:r>
              <w:rPr>
                <w:rFonts w:ascii="Arial" w:eastAsia="Times New Roman" w:hAnsi="Arial" w:cs="Arial"/>
                <w:sz w:val="20"/>
                <w:szCs w:val="20"/>
                <w:lang w:eastAsia="es-ES_tradnl"/>
              </w:rPr>
              <w:t xml:space="preserve">. </w:t>
            </w:r>
            <w:r w:rsidR="006A32F6">
              <w:rPr>
                <w:rFonts w:ascii="Arial" w:eastAsia="Times New Roman" w:hAnsi="Arial" w:cs="Arial"/>
                <w:sz w:val="20"/>
                <w:szCs w:val="20"/>
                <w:lang w:eastAsia="es-ES_tradnl"/>
              </w:rPr>
              <w:t xml:space="preserve">Entrando al tercer trimestre la meta global varia a un </w:t>
            </w:r>
            <w:r w:rsidR="00AD409A">
              <w:rPr>
                <w:rFonts w:ascii="Arial" w:eastAsia="Times New Roman" w:hAnsi="Arial" w:cs="Arial"/>
                <w:sz w:val="20"/>
                <w:szCs w:val="20"/>
                <w:lang w:eastAsia="es-ES_tradnl"/>
              </w:rPr>
              <w:t>60</w:t>
            </w:r>
            <w:r w:rsidR="006A32F6">
              <w:rPr>
                <w:rFonts w:ascii="Arial" w:eastAsia="Times New Roman" w:hAnsi="Arial" w:cs="Arial"/>
                <w:sz w:val="20"/>
                <w:szCs w:val="20"/>
                <w:lang w:eastAsia="es-ES_tradnl"/>
              </w:rPr>
              <w:t xml:space="preserve">%. </w:t>
            </w:r>
            <w:r w:rsidR="00AD409A">
              <w:rPr>
                <w:rFonts w:ascii="Arial" w:eastAsia="Times New Roman" w:hAnsi="Arial" w:cs="Arial"/>
                <w:sz w:val="20"/>
                <w:szCs w:val="20"/>
                <w:lang w:eastAsia="es-ES_tradnl"/>
              </w:rPr>
              <w:t>Teniendo en cuenta esta meta trimestral a cierre agosto tuvimos el siguiente avance</w:t>
            </w:r>
          </w:p>
          <w:p w14:paraId="1F92B57C" w14:textId="537FE759" w:rsidR="00E829D3" w:rsidRDefault="00E829D3" w:rsidP="00925E25">
            <w:pPr>
              <w:jc w:val="both"/>
              <w:rPr>
                <w:rFonts w:ascii="Arial" w:eastAsia="Times New Roman" w:hAnsi="Arial" w:cs="Arial"/>
                <w:noProof/>
                <w:sz w:val="20"/>
                <w:szCs w:val="20"/>
                <w:lang w:eastAsia="es-ES_tradnl"/>
              </w:rPr>
            </w:pPr>
          </w:p>
          <w:p w14:paraId="304BCF04" w14:textId="0BB5A717" w:rsidR="00AD409A" w:rsidRDefault="00AD409A" w:rsidP="00925E25">
            <w:pPr>
              <w:jc w:val="both"/>
              <w:rPr>
                <w:rFonts w:ascii="Arial" w:eastAsia="Times New Roman" w:hAnsi="Arial" w:cs="Arial"/>
                <w:noProof/>
                <w:sz w:val="20"/>
                <w:szCs w:val="20"/>
                <w:lang w:eastAsia="es-ES_tradnl"/>
              </w:rPr>
            </w:pPr>
            <w:r w:rsidRPr="00AD409A">
              <w:rPr>
                <w:rFonts w:ascii="Arial" w:eastAsia="Times New Roman" w:hAnsi="Arial" w:cs="Arial"/>
                <w:noProof/>
                <w:sz w:val="20"/>
                <w:szCs w:val="20"/>
                <w:lang w:eastAsia="es-ES_tradnl"/>
              </w:rPr>
              <w:drawing>
                <wp:inline distT="0" distB="0" distL="0" distR="0" wp14:anchorId="52D7DC72" wp14:editId="3E30D901">
                  <wp:extent cx="3024505" cy="494030"/>
                  <wp:effectExtent l="0" t="0" r="4445" b="1270"/>
                  <wp:docPr id="1449565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56571" name=""/>
                          <pic:cNvPicPr/>
                        </pic:nvPicPr>
                        <pic:blipFill>
                          <a:blip r:embed="rId7"/>
                          <a:stretch>
                            <a:fillRect/>
                          </a:stretch>
                        </pic:blipFill>
                        <pic:spPr>
                          <a:xfrm>
                            <a:off x="0" y="0"/>
                            <a:ext cx="3024505" cy="494030"/>
                          </a:xfrm>
                          <a:prstGeom prst="rect">
                            <a:avLst/>
                          </a:prstGeom>
                        </pic:spPr>
                      </pic:pic>
                    </a:graphicData>
                  </a:graphic>
                </wp:inline>
              </w:drawing>
            </w:r>
          </w:p>
          <w:p w14:paraId="5F97EA51" w14:textId="77777777" w:rsidR="00AD409A" w:rsidRDefault="00AD409A" w:rsidP="00925E25">
            <w:pPr>
              <w:jc w:val="both"/>
              <w:rPr>
                <w:rFonts w:ascii="Arial" w:eastAsia="Times New Roman" w:hAnsi="Arial" w:cs="Arial"/>
                <w:noProof/>
                <w:sz w:val="20"/>
                <w:szCs w:val="20"/>
                <w:lang w:eastAsia="es-ES_tradnl"/>
              </w:rPr>
            </w:pPr>
          </w:p>
          <w:p w14:paraId="760676C2" w14:textId="77777777" w:rsidR="00AD409A" w:rsidRDefault="00AD409A" w:rsidP="00925E25">
            <w:pPr>
              <w:jc w:val="both"/>
              <w:rPr>
                <w:rFonts w:ascii="Arial" w:eastAsia="Times New Roman" w:hAnsi="Arial" w:cs="Arial"/>
                <w:sz w:val="20"/>
                <w:szCs w:val="20"/>
                <w:lang w:eastAsia="es-ES_tradnl"/>
              </w:rPr>
            </w:pPr>
          </w:p>
          <w:p w14:paraId="795FBB0D" w14:textId="77777777" w:rsidR="00E829D3" w:rsidRDefault="00E829D3" w:rsidP="00925E25">
            <w:pPr>
              <w:jc w:val="both"/>
              <w:rPr>
                <w:rFonts w:ascii="Arial" w:eastAsia="Times New Roman" w:hAnsi="Arial" w:cs="Arial"/>
                <w:sz w:val="20"/>
                <w:szCs w:val="20"/>
                <w:lang w:eastAsia="es-ES_tradnl"/>
              </w:rPr>
            </w:pPr>
          </w:p>
          <w:p w14:paraId="0FB779B6" w14:textId="0E394753" w:rsidR="00925E25" w:rsidRPr="00925E25" w:rsidRDefault="000B6D55" w:rsidP="00925E25">
            <w:pPr>
              <w:jc w:val="both"/>
              <w:rPr>
                <w:rFonts w:ascii="Arial" w:eastAsia="Times New Roman" w:hAnsi="Arial" w:cs="Arial"/>
                <w:sz w:val="20"/>
                <w:szCs w:val="20"/>
                <w:lang w:eastAsia="es-ES_tradnl"/>
              </w:rPr>
            </w:pPr>
            <w:r>
              <w:rPr>
                <w:rFonts w:ascii="Arial" w:eastAsia="Times New Roman" w:hAnsi="Arial" w:cs="Arial"/>
                <w:b/>
                <w:bCs/>
                <w:sz w:val="20"/>
                <w:szCs w:val="20"/>
                <w:lang w:eastAsia="es-ES_tradnl"/>
              </w:rPr>
              <w:t>A</w:t>
            </w:r>
            <w:r w:rsidR="00925E25" w:rsidRPr="00925E25">
              <w:rPr>
                <w:rFonts w:ascii="Arial" w:eastAsia="Times New Roman" w:hAnsi="Arial" w:cs="Arial"/>
                <w:b/>
                <w:bCs/>
                <w:sz w:val="20"/>
                <w:szCs w:val="20"/>
                <w:lang w:eastAsia="es-ES_tradnl"/>
              </w:rPr>
              <w:t>cciones realizadas:</w:t>
            </w:r>
          </w:p>
          <w:p w14:paraId="62BC80BA" w14:textId="355A5F42" w:rsidR="00925E25" w:rsidRDefault="00F8057F" w:rsidP="00F8057F">
            <w:pPr>
              <w:jc w:val="both"/>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Seguimientos indicadores: </w:t>
            </w:r>
            <w:r>
              <w:rPr>
                <w:rFonts w:ascii="Arial" w:eastAsia="Times New Roman" w:hAnsi="Arial" w:cs="Arial"/>
                <w:sz w:val="20"/>
                <w:szCs w:val="20"/>
                <w:lang w:eastAsia="es-ES_tradnl"/>
              </w:rPr>
              <w:t>de acuerdo con el seguimiento realizado con cada uno de los equipos social y ambiental se realiza seguimiento del avance de los indicadores estratégicos dentro del tablero de control construido en el archivo “</w:t>
            </w:r>
            <w:r w:rsidRPr="00F8057F">
              <w:rPr>
                <w:rFonts w:ascii="Arial" w:eastAsia="Times New Roman" w:hAnsi="Arial" w:cs="Arial"/>
                <w:b/>
                <w:bCs/>
                <w:sz w:val="20"/>
                <w:szCs w:val="20"/>
                <w:lang w:eastAsia="es-ES_tradnl"/>
              </w:rPr>
              <w:t>Consolido Avance PAA OAAS 2025”</w:t>
            </w:r>
            <w:r>
              <w:rPr>
                <w:rFonts w:ascii="Arial" w:eastAsia="Times New Roman" w:hAnsi="Arial" w:cs="Arial"/>
                <w:b/>
                <w:bCs/>
                <w:sz w:val="20"/>
                <w:szCs w:val="20"/>
                <w:lang w:eastAsia="es-ES_tradnl"/>
              </w:rPr>
              <w:t xml:space="preserve">. </w:t>
            </w:r>
          </w:p>
          <w:p w14:paraId="2083880C" w14:textId="3B66C823" w:rsidR="00F8057F" w:rsidRDefault="00F8057F" w:rsidP="00F8057F">
            <w:pPr>
              <w:jc w:val="both"/>
              <w:rPr>
                <w:rFonts w:ascii="Arial" w:eastAsia="Times New Roman" w:hAnsi="Arial" w:cs="Arial"/>
                <w:b/>
                <w:bCs/>
                <w:noProof/>
                <w:sz w:val="20"/>
                <w:szCs w:val="20"/>
                <w:lang w:eastAsia="es-ES_tradnl"/>
              </w:rPr>
            </w:pPr>
          </w:p>
          <w:p w14:paraId="5C04E2C1" w14:textId="54D72B05" w:rsidR="00A01A09" w:rsidRDefault="003931A2" w:rsidP="00F8057F">
            <w:pPr>
              <w:jc w:val="both"/>
              <w:rPr>
                <w:rFonts w:ascii="Arial" w:eastAsia="Times New Roman" w:hAnsi="Arial" w:cs="Arial"/>
                <w:b/>
                <w:bCs/>
                <w:sz w:val="20"/>
                <w:szCs w:val="20"/>
                <w:lang w:eastAsia="es-ES_tradnl"/>
              </w:rPr>
            </w:pPr>
            <w:r w:rsidRPr="003931A2">
              <w:rPr>
                <w:rFonts w:ascii="Arial" w:eastAsia="Times New Roman" w:hAnsi="Arial" w:cs="Arial"/>
                <w:b/>
                <w:bCs/>
                <w:sz w:val="20"/>
                <w:szCs w:val="20"/>
                <w:lang w:eastAsia="es-ES_tradnl"/>
              </w:rPr>
              <w:lastRenderedPageBreak/>
              <w:drawing>
                <wp:inline distT="0" distB="0" distL="0" distR="0" wp14:anchorId="5D9A34D5" wp14:editId="7FE9BD4C">
                  <wp:extent cx="3024505" cy="2139950"/>
                  <wp:effectExtent l="0" t="0" r="4445" b="0"/>
                  <wp:docPr id="5237561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56171" name=""/>
                          <pic:cNvPicPr/>
                        </pic:nvPicPr>
                        <pic:blipFill>
                          <a:blip r:embed="rId8"/>
                          <a:stretch>
                            <a:fillRect/>
                          </a:stretch>
                        </pic:blipFill>
                        <pic:spPr>
                          <a:xfrm>
                            <a:off x="0" y="0"/>
                            <a:ext cx="3024505" cy="2139950"/>
                          </a:xfrm>
                          <a:prstGeom prst="rect">
                            <a:avLst/>
                          </a:prstGeom>
                        </pic:spPr>
                      </pic:pic>
                    </a:graphicData>
                  </a:graphic>
                </wp:inline>
              </w:drawing>
            </w:r>
          </w:p>
          <w:p w14:paraId="3337B48D" w14:textId="7CB6ECEC" w:rsidR="00F8057F" w:rsidRDefault="00F8057F" w:rsidP="00F8057F">
            <w:pPr>
              <w:jc w:val="both"/>
              <w:rPr>
                <w:rFonts w:ascii="Arial" w:eastAsia="Times New Roman" w:hAnsi="Arial" w:cs="Arial"/>
                <w:b/>
                <w:bCs/>
                <w:sz w:val="20"/>
                <w:szCs w:val="20"/>
                <w:lang w:eastAsia="es-ES_tradnl"/>
              </w:rPr>
            </w:pPr>
          </w:p>
          <w:p w14:paraId="393C5D22" w14:textId="02B6DAD7" w:rsidR="00DE7CB2" w:rsidRPr="00916A63" w:rsidRDefault="003931A2" w:rsidP="00916A63">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Estos resultados fueron expuestos en el comité de coordinación programado por la Jefe de la OAAS, en donde se conoce el detalle del avance con cada uno de los lideres técnicos. 24 de Septiembre de 2024. </w:t>
            </w:r>
          </w:p>
          <w:p w14:paraId="77D8ABA2" w14:textId="0060412D" w:rsidR="00F71EC9" w:rsidRPr="00F71EC9" w:rsidRDefault="00F71EC9" w:rsidP="00916A63">
            <w:pPr>
              <w:jc w:val="both"/>
              <w:rPr>
                <w:rFonts w:ascii="Arial" w:eastAsia="Times New Roman" w:hAnsi="Arial" w:cs="Arial"/>
                <w:sz w:val="20"/>
                <w:szCs w:val="20"/>
                <w:lang w:eastAsia="es-ES_tradnl"/>
              </w:rPr>
            </w:pP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vAlign w:val="center"/>
            <w:hideMark/>
          </w:tcPr>
          <w:p w14:paraId="2E340AC5" w14:textId="2F789CDB" w:rsidR="002175AE" w:rsidRPr="00945A47" w:rsidRDefault="00031194" w:rsidP="0003699D">
            <w:pPr>
              <w:jc w:val="both"/>
              <w:rPr>
                <w:rFonts w:ascii="Arial" w:eastAsia="Times New Roman" w:hAnsi="Arial" w:cs="Arial"/>
                <w:color w:val="000000"/>
                <w:sz w:val="20"/>
                <w:szCs w:val="20"/>
                <w:lang w:eastAsia="es-ES_tradnl"/>
              </w:rPr>
            </w:pPr>
            <w:r w:rsidRPr="00031194">
              <w:rPr>
                <w:rFonts w:ascii="Arial" w:eastAsia="Times New Roman" w:hAnsi="Arial" w:cs="Arial"/>
                <w:color w:val="000000"/>
                <w:sz w:val="20"/>
                <w:szCs w:val="20"/>
                <w:lang w:eastAsia="es-ES_tradnl"/>
              </w:rPr>
              <w:t>Brindar apoyo y dar respuesta a los espacios de rendición de cuentas interna frente al avance y resultados del plan de acción anual y/o plan estratégico sectorial establecido para la Oficina de Asuntos Ambientales y Sociales</w:t>
            </w:r>
            <w:r>
              <w:rPr>
                <w:rFonts w:ascii="Arial" w:eastAsia="Times New Roman" w:hAnsi="Arial" w:cs="Arial"/>
                <w:color w:val="000000"/>
                <w:sz w:val="20"/>
                <w:szCs w:val="20"/>
                <w:lang w:eastAsia="es-ES_tradnl"/>
              </w:rPr>
              <w:t>.</w:t>
            </w:r>
          </w:p>
        </w:tc>
        <w:tc>
          <w:tcPr>
            <w:tcW w:w="4903" w:type="dxa"/>
            <w:gridSpan w:val="8"/>
            <w:vMerge w:val="restart"/>
            <w:vAlign w:val="center"/>
            <w:hideMark/>
          </w:tcPr>
          <w:p w14:paraId="09C2B2AE" w14:textId="7105E521" w:rsidR="00A01A09" w:rsidRDefault="003931A2" w:rsidP="00A01A09">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participa en la exposición del avance de los indicadores del plan de acción el día 24 de septiembre dentro del comité de coordinación programado por la Jefe de la OAAS. </w:t>
            </w:r>
          </w:p>
          <w:p w14:paraId="1D8DFB1D" w14:textId="48629A35" w:rsidR="008E250D" w:rsidRPr="00F71EC9" w:rsidRDefault="008E250D" w:rsidP="002272F3">
            <w:pPr>
              <w:jc w:val="both"/>
              <w:rPr>
                <w:rFonts w:ascii="Arial" w:eastAsia="Times New Roman" w:hAnsi="Arial" w:cs="Arial"/>
                <w:sz w:val="20"/>
                <w:szCs w:val="20"/>
                <w:lang w:eastAsia="es-ES_tradnl"/>
              </w:rPr>
            </w:pP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vAlign w:val="center"/>
            <w:hideMark/>
          </w:tcPr>
          <w:p w14:paraId="02627189" w14:textId="7227339B"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técnico a los equipos internos de la Oficina de Asuntos Ambientales y Sociales en la identificación, evaluación y seguimiento a controles frente a la gestión de riesgos del proceso a cargo de la Oficina de Asuntos Ambientales y Sociales</w:t>
            </w:r>
            <w:r>
              <w:rPr>
                <w:rFonts w:ascii="Arial" w:eastAsia="Times New Roman" w:hAnsi="Arial" w:cs="Arial"/>
                <w:sz w:val="20"/>
                <w:szCs w:val="20"/>
                <w:lang w:eastAsia="es-ES_tradnl"/>
              </w:rPr>
              <w:t>.</w:t>
            </w:r>
          </w:p>
        </w:tc>
        <w:tc>
          <w:tcPr>
            <w:tcW w:w="4903" w:type="dxa"/>
            <w:gridSpan w:val="8"/>
            <w:vMerge w:val="restart"/>
            <w:vAlign w:val="center"/>
            <w:hideMark/>
          </w:tcPr>
          <w:p w14:paraId="52576EDE" w14:textId="5BCC6FDB" w:rsidR="00850E91" w:rsidRDefault="00850E91"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w:t>
            </w:r>
            <w:r w:rsidR="003931A2">
              <w:rPr>
                <w:rFonts w:ascii="Arial" w:eastAsia="Times New Roman" w:hAnsi="Arial" w:cs="Arial"/>
                <w:sz w:val="20"/>
                <w:szCs w:val="20"/>
                <w:lang w:eastAsia="es-ES_tradnl"/>
              </w:rPr>
              <w:t>recibe resultados de las auditorías realizadas por la oficina de control interno frente al tiempo de respuesta frente a los PQRS a nivel de ministerio y se revisa la muestra para realizar el respectivo análisis. Si bien desde la OAAS se ha gestionado un proceso interno de control y seguimiento, se sigue materializando el riesgo desde diferentes causas como por ejemplo las asignaciones a contratistas que se encuentra en territorios y no tiene espacio para poder realizar la respuesta</w:t>
            </w:r>
            <w:r w:rsidR="00580B5D">
              <w:rPr>
                <w:rFonts w:ascii="Arial" w:eastAsia="Times New Roman" w:hAnsi="Arial" w:cs="Arial"/>
                <w:sz w:val="20"/>
                <w:szCs w:val="20"/>
                <w:lang w:eastAsia="es-ES_tradnl"/>
              </w:rPr>
              <w:t xml:space="preserve"> en los términos establecidos, falta de interacción con la herramienta ARGO por parte del contratista. Para tener claridad se cuenta con corte a Agosto 56 requerimientos sin tramitar. Para esto se ha planteado con el equipo jurídico estrategias de seguimiento con los equipos que presente un alto índice de requerimientos sin tramitar para poder evacuar la respuesta de una manera ms rápida y oportuna.</w:t>
            </w:r>
            <w:r w:rsidR="00FE6838">
              <w:rPr>
                <w:rFonts w:ascii="Arial" w:eastAsia="Times New Roman" w:hAnsi="Arial" w:cs="Arial"/>
                <w:sz w:val="20"/>
                <w:szCs w:val="20"/>
                <w:lang w:eastAsia="es-ES_tradnl"/>
              </w:rPr>
              <w:t xml:space="preserve"> </w:t>
            </w:r>
          </w:p>
          <w:p w14:paraId="15AA4BB2" w14:textId="4CEC139A" w:rsidR="00372C5F" w:rsidRPr="00945A47" w:rsidRDefault="00372C5F" w:rsidP="00511313">
            <w:pPr>
              <w:jc w:val="both"/>
              <w:rPr>
                <w:rFonts w:ascii="Arial" w:eastAsia="Times New Roman" w:hAnsi="Arial" w:cs="Arial"/>
                <w:sz w:val="20"/>
                <w:szCs w:val="20"/>
                <w:lang w:eastAsia="es-ES_tradnl"/>
              </w:rPr>
            </w:pP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4BA9EB00" w14:textId="28D44645"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Apoyar los requerimientos y solicitudes que permitan articular los procesos de la Oficina de Asuntos Ambientales y Sociales con el Sistema de Gestión de Calidad del Ministerio de Minas y Energía.</w:t>
            </w:r>
          </w:p>
        </w:tc>
        <w:tc>
          <w:tcPr>
            <w:tcW w:w="4903" w:type="dxa"/>
            <w:gridSpan w:val="8"/>
            <w:vMerge w:val="restart"/>
            <w:vAlign w:val="center"/>
            <w:hideMark/>
          </w:tcPr>
          <w:p w14:paraId="5E49E81B" w14:textId="545A2D7F" w:rsidR="00691F8C" w:rsidRPr="00F736D6" w:rsidRDefault="00D60AFE" w:rsidP="00F736D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w:t>
            </w:r>
            <w:r w:rsidR="00511313">
              <w:rPr>
                <w:rFonts w:ascii="Arial" w:eastAsia="Times New Roman" w:hAnsi="Arial" w:cs="Arial"/>
                <w:sz w:val="20"/>
                <w:szCs w:val="20"/>
                <w:lang w:eastAsia="es-ES_tradnl"/>
              </w:rPr>
              <w:t xml:space="preserve">mes </w:t>
            </w:r>
            <w:r w:rsidR="00372C5F">
              <w:rPr>
                <w:rFonts w:ascii="Arial" w:eastAsia="Times New Roman" w:hAnsi="Arial" w:cs="Arial"/>
                <w:sz w:val="20"/>
                <w:szCs w:val="20"/>
                <w:lang w:eastAsia="es-ES_tradnl"/>
              </w:rPr>
              <w:t>se participan en la sesión de auditoria frente al proyecto ambiental de la OAAS, el cual tiene como enfoque realizar una auditoria transversal de acuerdo con los lineamientos establecidos en MIPG. Se aporta información frente a los requerimientos</w:t>
            </w:r>
            <w:r w:rsidR="00580B5D">
              <w:rPr>
                <w:rFonts w:ascii="Arial" w:eastAsia="Times New Roman" w:hAnsi="Arial" w:cs="Arial"/>
                <w:sz w:val="20"/>
                <w:szCs w:val="20"/>
                <w:lang w:eastAsia="es-ES_tradnl"/>
              </w:rPr>
              <w:t xml:space="preserve"> en cuanto a los controles y evidencias de los riesgos definidos dentro del proceso de la OAAS y se atiende espacio el </w:t>
            </w:r>
            <w:r w:rsidR="00691F8C">
              <w:rPr>
                <w:rFonts w:ascii="Arial" w:eastAsia="Times New Roman" w:hAnsi="Arial" w:cs="Arial"/>
                <w:sz w:val="20"/>
                <w:szCs w:val="20"/>
                <w:lang w:eastAsia="es-ES_tradnl"/>
              </w:rPr>
              <w:t>día</w:t>
            </w:r>
            <w:r w:rsidR="00580B5D">
              <w:rPr>
                <w:rFonts w:ascii="Arial" w:eastAsia="Times New Roman" w:hAnsi="Arial" w:cs="Arial"/>
                <w:sz w:val="20"/>
                <w:szCs w:val="20"/>
                <w:lang w:eastAsia="es-ES_tradnl"/>
              </w:rPr>
              <w:t xml:space="preserve"> 26 de septiembre con el equipo auditor con el fin poder </w:t>
            </w:r>
            <w:r w:rsidR="00691F8C">
              <w:rPr>
                <w:rFonts w:ascii="Arial" w:eastAsia="Times New Roman" w:hAnsi="Arial" w:cs="Arial"/>
                <w:sz w:val="20"/>
                <w:szCs w:val="20"/>
                <w:lang w:eastAsia="es-ES_tradnl"/>
              </w:rPr>
              <w:t xml:space="preserve">analizar las observaciones y hallazgos identificados para poder notificar la conformidad del </w:t>
            </w:r>
            <w:r w:rsidR="00691F8C">
              <w:rPr>
                <w:rFonts w:ascii="Arial" w:eastAsia="Times New Roman" w:hAnsi="Arial" w:cs="Arial"/>
                <w:sz w:val="20"/>
                <w:szCs w:val="20"/>
                <w:lang w:eastAsia="es-ES_tradnl"/>
              </w:rPr>
              <w:lastRenderedPageBreak/>
              <w:t xml:space="preserve">ejercicio y asi sacar el informe final a sustentar frente a la jefe de la OAAS. </w:t>
            </w:r>
          </w:p>
          <w:p w14:paraId="50A93DC9" w14:textId="78B39AD9" w:rsidR="007823CE" w:rsidRPr="00945A47" w:rsidRDefault="007823CE" w:rsidP="0090356D">
            <w:pPr>
              <w:jc w:val="both"/>
              <w:rPr>
                <w:rFonts w:ascii="Arial" w:eastAsia="Times New Roman" w:hAnsi="Arial" w:cs="Arial"/>
                <w:sz w:val="20"/>
                <w:szCs w:val="20"/>
                <w:lang w:eastAsia="es-ES_tradnl"/>
              </w:rPr>
            </w:pP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8B44C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vAlign w:val="center"/>
            <w:hideMark/>
          </w:tcPr>
          <w:p w14:paraId="72BC1279" w14:textId="70F2C118"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y dar respuesta a los requerimientos de auditorías internas y externas asociadas a la Oficina de Asuntos Ambientales y Sociales, asegurando que la información solicitada sea proporcionada de manera completa y oportuna.</w:t>
            </w:r>
          </w:p>
        </w:tc>
        <w:tc>
          <w:tcPr>
            <w:tcW w:w="4903" w:type="dxa"/>
            <w:gridSpan w:val="8"/>
            <w:vMerge w:val="restart"/>
            <w:vAlign w:val="center"/>
            <w:hideMark/>
          </w:tcPr>
          <w:p w14:paraId="341D9502" w14:textId="2D4286D3" w:rsidR="008B44CE" w:rsidRPr="00945A47" w:rsidRDefault="00691F8C"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participan en la sesión de auditoria frente al proyecto ambiental de la OAAS, el cual tiene como enfoque realizar una auditoria transversal de acuerdo con los lineamientos establecidos en MIPG. Se aporta información frente a los requerimientos en cuanto a los controles y evidencias de los riesgos definidos dentro del proceso de la OAAS y se atiende espacio el día 26 de septiembre con el equipo auditor con el fin poder analizar las observaciones y hallazgos identificados para poder notificar la conformidad del ejercicio y asi sacar el informe final a sustentar frente a la jefe de la OAAS. </w:t>
            </w:r>
            <w:r>
              <w:rPr>
                <w:rFonts w:ascii="Arial" w:eastAsia="Times New Roman" w:hAnsi="Arial" w:cs="Arial"/>
                <w:sz w:val="20"/>
                <w:szCs w:val="20"/>
                <w:lang w:eastAsia="es-ES_tradnl"/>
              </w:rPr>
              <w:t>Adicionalmente se recibe seguimiento a los avances del plan de acción por parte de la tercera línea que es la oficina de Control interno recibida el 4 de septiembre .</w:t>
            </w:r>
          </w:p>
        </w:tc>
      </w:tr>
      <w:tr w:rsidR="008B44CE" w:rsidRPr="004C232E" w14:paraId="577F6993" w14:textId="77777777" w:rsidTr="7D1789CB">
        <w:trPr>
          <w:trHeight w:val="293"/>
        </w:trPr>
        <w:tc>
          <w:tcPr>
            <w:tcW w:w="669" w:type="dxa"/>
            <w:vMerge/>
            <w:vAlign w:val="center"/>
            <w:hideMark/>
          </w:tcPr>
          <w:p w14:paraId="3C7CA5AE"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015E0317" w14:textId="77777777" w:rsidTr="00481AF7">
        <w:trPr>
          <w:trHeight w:val="293"/>
        </w:trPr>
        <w:tc>
          <w:tcPr>
            <w:tcW w:w="669" w:type="dxa"/>
            <w:vMerge/>
            <w:vAlign w:val="center"/>
            <w:hideMark/>
          </w:tcPr>
          <w:p w14:paraId="4E022257"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vAlign w:val="center"/>
            <w:hideMark/>
          </w:tcPr>
          <w:p w14:paraId="0FE28E49" w14:textId="1139266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Proyectar las respuestas a las peticiones, quejas, reclamos, y/o solicitudes requeridas, relacionados con el objeto del contrato, según designación realizada por el supervisor, así como verificar su correcto envío</w:t>
            </w:r>
          </w:p>
        </w:tc>
        <w:tc>
          <w:tcPr>
            <w:tcW w:w="4903" w:type="dxa"/>
            <w:gridSpan w:val="8"/>
            <w:vMerge w:val="restart"/>
            <w:vAlign w:val="center"/>
            <w:hideMark/>
          </w:tcPr>
          <w:p w14:paraId="0C36E194" w14:textId="17BC19A3" w:rsidR="008B44CE"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0809A7">
              <w:rPr>
                <w:rFonts w:ascii="Arial" w:eastAsia="Times New Roman" w:hAnsi="Arial" w:cs="Arial"/>
                <w:sz w:val="20"/>
                <w:szCs w:val="20"/>
                <w:lang w:eastAsia="es-ES_tradnl"/>
              </w:rPr>
              <w:t xml:space="preserve"> se </w:t>
            </w:r>
            <w:r w:rsidR="00691F8C">
              <w:rPr>
                <w:rFonts w:ascii="Arial" w:eastAsia="Times New Roman" w:hAnsi="Arial" w:cs="Arial"/>
                <w:sz w:val="20"/>
                <w:szCs w:val="20"/>
                <w:lang w:eastAsia="es-ES_tradnl"/>
              </w:rPr>
              <w:t xml:space="preserve">reciben mediante la bandeja de ARGO los resultados de la auditoria de control interno frente al proyecto de gestión ambiental, los resultados de gestión de respuesta oportuna de PQRS a nivel ministerio </w:t>
            </w:r>
            <w:r w:rsidR="00846A99">
              <w:rPr>
                <w:rFonts w:ascii="Arial" w:eastAsia="Times New Roman" w:hAnsi="Arial" w:cs="Arial"/>
                <w:sz w:val="20"/>
                <w:szCs w:val="20"/>
                <w:lang w:eastAsia="es-ES_tradnl"/>
              </w:rPr>
              <w:t>y observaciones</w:t>
            </w:r>
            <w:r w:rsidR="00691F8C">
              <w:rPr>
                <w:rFonts w:ascii="Arial" w:eastAsia="Times New Roman" w:hAnsi="Arial" w:cs="Arial"/>
                <w:sz w:val="20"/>
                <w:szCs w:val="20"/>
                <w:lang w:eastAsia="es-ES_tradnl"/>
              </w:rPr>
              <w:t xml:space="preserve"> a considerar los avances del plan de acción de la OAAS. </w:t>
            </w:r>
          </w:p>
          <w:p w14:paraId="01793BFC" w14:textId="3275CF77" w:rsidR="008B44CE" w:rsidRPr="00945A47" w:rsidRDefault="008B44CE" w:rsidP="008B44CE">
            <w:pPr>
              <w:jc w:val="both"/>
              <w:rPr>
                <w:rFonts w:ascii="Arial" w:eastAsia="Times New Roman" w:hAnsi="Arial" w:cs="Arial"/>
                <w:sz w:val="20"/>
                <w:szCs w:val="20"/>
                <w:lang w:eastAsia="es-ES_tradnl"/>
              </w:rPr>
            </w:pPr>
          </w:p>
        </w:tc>
      </w:tr>
      <w:tr w:rsidR="008B44CE" w:rsidRPr="004C232E" w14:paraId="252173B1" w14:textId="77777777" w:rsidTr="7D1789CB">
        <w:trPr>
          <w:trHeight w:val="293"/>
        </w:trPr>
        <w:tc>
          <w:tcPr>
            <w:tcW w:w="669" w:type="dxa"/>
            <w:vMerge/>
            <w:vAlign w:val="center"/>
            <w:hideMark/>
          </w:tcPr>
          <w:p w14:paraId="6B6DEE74"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43547FB" w14:textId="77777777" w:rsidTr="7D1789CB">
        <w:trPr>
          <w:trHeight w:val="293"/>
        </w:trPr>
        <w:tc>
          <w:tcPr>
            <w:tcW w:w="669" w:type="dxa"/>
            <w:vMerge/>
            <w:vAlign w:val="center"/>
            <w:hideMark/>
          </w:tcPr>
          <w:p w14:paraId="0F6007AC"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vAlign w:val="center"/>
            <w:hideMark/>
          </w:tcPr>
          <w:p w14:paraId="66F92A17" w14:textId="5028580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Entregar los insumos generados durante la ejecución contractual y aquellos solicitados por la supervisión, conforme al objeto y alcance establecidos.</w:t>
            </w:r>
          </w:p>
        </w:tc>
        <w:tc>
          <w:tcPr>
            <w:tcW w:w="4903" w:type="dxa"/>
            <w:gridSpan w:val="8"/>
            <w:vMerge w:val="restart"/>
            <w:vAlign w:val="center"/>
            <w:hideMark/>
          </w:tcPr>
          <w:p w14:paraId="7FD0A305" w14:textId="6381A377"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carga todas las evidencias en la carpeta compartida, la cual respalda la gestión del reporte mencionado en cada una de las obligaciones.</w:t>
            </w:r>
          </w:p>
        </w:tc>
      </w:tr>
      <w:tr w:rsidR="008B44CE" w:rsidRPr="004C232E" w14:paraId="47C38C95" w14:textId="77777777" w:rsidTr="7D1789CB">
        <w:trPr>
          <w:trHeight w:val="293"/>
        </w:trPr>
        <w:tc>
          <w:tcPr>
            <w:tcW w:w="669" w:type="dxa"/>
            <w:vMerge/>
            <w:vAlign w:val="center"/>
            <w:hideMark/>
          </w:tcPr>
          <w:p w14:paraId="646C2AF2"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14B35ED0" w14:textId="77777777" w:rsidTr="7D1789CB">
        <w:trPr>
          <w:trHeight w:val="293"/>
        </w:trPr>
        <w:tc>
          <w:tcPr>
            <w:tcW w:w="669" w:type="dxa"/>
            <w:vMerge/>
            <w:vAlign w:val="center"/>
            <w:hideMark/>
          </w:tcPr>
          <w:p w14:paraId="33F50B51"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FCBD354" w14:textId="77777777" w:rsidTr="7D1789CB">
        <w:trPr>
          <w:trHeight w:val="293"/>
        </w:trPr>
        <w:tc>
          <w:tcPr>
            <w:tcW w:w="669" w:type="dxa"/>
            <w:vMerge w:val="restart"/>
            <w:shd w:val="clear" w:color="auto" w:fill="D9D9D9" w:themeFill="background1" w:themeFillShade="D9"/>
            <w:vAlign w:val="center"/>
            <w:hideMark/>
          </w:tcPr>
          <w:p w14:paraId="404903EA" w14:textId="044BDD5F" w:rsidR="008B44CE" w:rsidRPr="00E066FC" w:rsidRDefault="008B44CE" w:rsidP="008B44CE">
            <w:pPr>
              <w:ind w:left="708"/>
              <w:jc w:val="center"/>
              <w:rPr>
                <w:rFonts w:ascii="Arial" w:eastAsia="Times New Roman" w:hAnsi="Arial" w:cs="Arial"/>
                <w:sz w:val="20"/>
                <w:szCs w:val="20"/>
                <w:lang w:eastAsia="es-ES_tradnl"/>
              </w:rPr>
            </w:pPr>
            <w:r w:rsidRPr="00E066FC">
              <w:rPr>
                <w:rFonts w:ascii="Arial" w:eastAsia="Times New Roman" w:hAnsi="Arial" w:cs="Arial"/>
                <w:sz w:val="20"/>
                <w:szCs w:val="20"/>
                <w:lang w:eastAsia="es-ES_tradnl"/>
              </w:rPr>
              <w:t>8</w:t>
            </w:r>
          </w:p>
        </w:tc>
        <w:tc>
          <w:tcPr>
            <w:tcW w:w="4880" w:type="dxa"/>
            <w:gridSpan w:val="9"/>
            <w:vMerge w:val="restart"/>
            <w:vAlign w:val="center"/>
            <w:hideMark/>
          </w:tcPr>
          <w:p w14:paraId="4C28043E" w14:textId="4D808BF3"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Todas las demás inherentes o necesarias para la correcta ejecución del objeto contractual y que le sean asignadas por el / la supervisor (a).</w:t>
            </w:r>
          </w:p>
        </w:tc>
        <w:tc>
          <w:tcPr>
            <w:tcW w:w="4903" w:type="dxa"/>
            <w:gridSpan w:val="8"/>
            <w:vMerge w:val="restart"/>
            <w:vAlign w:val="center"/>
            <w:hideMark/>
          </w:tcPr>
          <w:p w14:paraId="3E75F540" w14:textId="77777777" w:rsidR="00846A99" w:rsidRDefault="008B44CE" w:rsidP="004105AA">
            <w:pPr>
              <w:pStyle w:val="Prrafodelista"/>
              <w:numPr>
                <w:ilvl w:val="0"/>
                <w:numId w:val="2"/>
              </w:numPr>
              <w:ind w:left="443" w:hanging="284"/>
              <w:jc w:val="both"/>
              <w:rPr>
                <w:rFonts w:ascii="Arial" w:eastAsia="Times New Roman" w:hAnsi="Arial" w:cs="Arial"/>
                <w:sz w:val="20"/>
                <w:szCs w:val="20"/>
                <w:lang w:eastAsia="es-ES_tradnl"/>
              </w:rPr>
            </w:pPr>
            <w:r w:rsidRPr="00846A99">
              <w:rPr>
                <w:rFonts w:ascii="Arial" w:eastAsia="Times New Roman" w:hAnsi="Arial" w:cs="Arial"/>
                <w:sz w:val="20"/>
                <w:szCs w:val="20"/>
                <w:lang w:eastAsia="es-ES_tradnl"/>
              </w:rPr>
              <w:t xml:space="preserve">Apoyo </w:t>
            </w:r>
            <w:r w:rsidR="00846A99" w:rsidRPr="00846A99">
              <w:rPr>
                <w:rFonts w:ascii="Arial" w:eastAsia="Times New Roman" w:hAnsi="Arial" w:cs="Arial"/>
                <w:sz w:val="20"/>
                <w:szCs w:val="20"/>
                <w:lang w:eastAsia="es-ES_tradnl"/>
              </w:rPr>
              <w:t>al seguimiento a las acciones establecidas dentro del plan nacional minero</w:t>
            </w:r>
            <w:r w:rsidRPr="00846A99">
              <w:rPr>
                <w:rFonts w:ascii="Arial" w:eastAsia="Times New Roman" w:hAnsi="Arial" w:cs="Arial"/>
                <w:sz w:val="20"/>
                <w:szCs w:val="20"/>
                <w:lang w:eastAsia="es-ES_tradnl"/>
              </w:rPr>
              <w:t>.</w:t>
            </w:r>
            <w:r w:rsidR="00846A99" w:rsidRPr="00846A99">
              <w:rPr>
                <w:rFonts w:ascii="Arial" w:eastAsia="Times New Roman" w:hAnsi="Arial" w:cs="Arial"/>
                <w:sz w:val="20"/>
                <w:szCs w:val="20"/>
                <w:lang w:eastAsia="es-ES_tradnl"/>
              </w:rPr>
              <w:t xml:space="preserve"> 15 </w:t>
            </w:r>
            <w:r w:rsidR="00846A99">
              <w:rPr>
                <w:rFonts w:ascii="Arial" w:eastAsia="Times New Roman" w:hAnsi="Arial" w:cs="Arial"/>
                <w:sz w:val="20"/>
                <w:szCs w:val="20"/>
                <w:lang w:eastAsia="es-ES_tradnl"/>
              </w:rPr>
              <w:t>de septiembre.</w:t>
            </w:r>
          </w:p>
          <w:p w14:paraId="32F188BA" w14:textId="0B0E4D13" w:rsidR="00846A99" w:rsidRDefault="00846A99"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participa en el ejercicio de innovación de procesos de la OAAS el 1</w:t>
            </w:r>
            <w:r w:rsidR="000D00F3">
              <w:rPr>
                <w:rFonts w:ascii="Arial" w:eastAsia="Times New Roman" w:hAnsi="Arial" w:cs="Arial"/>
                <w:sz w:val="20"/>
                <w:szCs w:val="20"/>
                <w:lang w:eastAsia="es-ES_tradnl"/>
              </w:rPr>
              <w:t xml:space="preserve"> y 15 de</w:t>
            </w:r>
            <w:r>
              <w:rPr>
                <w:rFonts w:ascii="Arial" w:eastAsia="Times New Roman" w:hAnsi="Arial" w:cs="Arial"/>
                <w:sz w:val="20"/>
                <w:szCs w:val="20"/>
                <w:lang w:eastAsia="es-ES_tradnl"/>
              </w:rPr>
              <w:t xml:space="preserve"> Septiembre en donde se establece las líneas necesarias desde lo social y lo ambiental.</w:t>
            </w:r>
          </w:p>
          <w:p w14:paraId="12108E3F" w14:textId="6C52F35E" w:rsidR="00DE7CB2" w:rsidRDefault="000809A7"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realiza </w:t>
            </w:r>
            <w:r w:rsidR="000D00F3">
              <w:rPr>
                <w:rFonts w:ascii="Arial" w:eastAsia="Times New Roman" w:hAnsi="Arial" w:cs="Arial"/>
                <w:sz w:val="20"/>
                <w:szCs w:val="20"/>
                <w:lang w:eastAsia="es-ES_tradnl"/>
              </w:rPr>
              <w:t>ajustes considerados por DNP en</w:t>
            </w:r>
            <w:r w:rsidR="00846A99">
              <w:rPr>
                <w:rFonts w:ascii="Arial" w:eastAsia="Times New Roman" w:hAnsi="Arial" w:cs="Arial"/>
                <w:sz w:val="20"/>
                <w:szCs w:val="20"/>
                <w:lang w:eastAsia="es-ES_tradnl"/>
              </w:rPr>
              <w:t xml:space="preserve"> la plataforma </w:t>
            </w:r>
            <w:r w:rsidR="000D00F3">
              <w:rPr>
                <w:rFonts w:ascii="Arial" w:eastAsia="Times New Roman" w:hAnsi="Arial" w:cs="Arial"/>
                <w:sz w:val="20"/>
                <w:szCs w:val="20"/>
                <w:lang w:eastAsia="es-ES_tradnl"/>
              </w:rPr>
              <w:t xml:space="preserve">SISCONPES </w:t>
            </w:r>
            <w:r w:rsidR="00846A99">
              <w:rPr>
                <w:rFonts w:ascii="Arial" w:eastAsia="Times New Roman" w:hAnsi="Arial" w:cs="Arial"/>
                <w:sz w:val="20"/>
                <w:szCs w:val="20"/>
                <w:lang w:eastAsia="es-ES_tradnl"/>
              </w:rPr>
              <w:t>de</w:t>
            </w:r>
            <w:r>
              <w:rPr>
                <w:rFonts w:ascii="Arial" w:eastAsia="Times New Roman" w:hAnsi="Arial" w:cs="Arial"/>
                <w:sz w:val="20"/>
                <w:szCs w:val="20"/>
                <w:lang w:eastAsia="es-ES_tradnl"/>
              </w:rPr>
              <w:t xml:space="preserve"> los avances de los CONPES 4023 acción 3.9, 4075 acción 3.26</w:t>
            </w:r>
            <w:r w:rsidR="000D00F3">
              <w:rPr>
                <w:rFonts w:ascii="Arial" w:eastAsia="Times New Roman" w:hAnsi="Arial" w:cs="Arial"/>
                <w:sz w:val="20"/>
                <w:szCs w:val="20"/>
                <w:lang w:eastAsia="es-ES_tradnl"/>
              </w:rPr>
              <w:t>, 4080</w:t>
            </w:r>
            <w:r w:rsidR="00FB1E3A">
              <w:rPr>
                <w:rFonts w:ascii="Arial" w:eastAsia="Times New Roman" w:hAnsi="Arial" w:cs="Arial"/>
                <w:sz w:val="20"/>
                <w:szCs w:val="20"/>
                <w:lang w:eastAsia="es-ES_tradnl"/>
              </w:rPr>
              <w:t xml:space="preserve"> acción 1.29</w:t>
            </w:r>
            <w:r w:rsidR="000D00F3">
              <w:rPr>
                <w:rFonts w:ascii="Arial" w:eastAsia="Times New Roman" w:hAnsi="Arial" w:cs="Arial"/>
                <w:sz w:val="20"/>
                <w:szCs w:val="20"/>
                <w:lang w:eastAsia="es-ES_tradnl"/>
              </w:rPr>
              <w:t xml:space="preserve">. </w:t>
            </w:r>
          </w:p>
          <w:p w14:paraId="0A7A5816" w14:textId="77777777" w:rsidR="008B44CE" w:rsidRDefault="000D00F3" w:rsidP="009474C7">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Seguimiento frente a los planes de acción referentes </w:t>
            </w:r>
            <w:r w:rsidR="009474C7">
              <w:rPr>
                <w:rFonts w:ascii="Arial" w:eastAsia="Times New Roman" w:hAnsi="Arial" w:cs="Arial"/>
                <w:sz w:val="20"/>
                <w:szCs w:val="20"/>
                <w:lang w:eastAsia="es-ES_tradnl"/>
              </w:rPr>
              <w:t xml:space="preserve">a los PQRS. </w:t>
            </w:r>
          </w:p>
          <w:p w14:paraId="3637AF5E" w14:textId="3D53A78F" w:rsidR="008546E8" w:rsidRPr="009474C7" w:rsidRDefault="008546E8" w:rsidP="009474C7">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Seguimiento y reporte a la oficina de planeación , solicitando acompañamiento para poder cargar nuevamente a los aplicativos correspondientes. En espera de línea. </w:t>
            </w:r>
          </w:p>
        </w:tc>
      </w:tr>
      <w:tr w:rsidR="008B44CE" w:rsidRPr="004C232E" w14:paraId="0BD0BF6E" w14:textId="77777777" w:rsidTr="7D1789CB">
        <w:trPr>
          <w:trHeight w:val="293"/>
        </w:trPr>
        <w:tc>
          <w:tcPr>
            <w:tcW w:w="669" w:type="dxa"/>
            <w:vMerge/>
            <w:vAlign w:val="center"/>
            <w:hideMark/>
          </w:tcPr>
          <w:p w14:paraId="39770BAB"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2C07604" w14:textId="77777777" w:rsidTr="7D1789CB">
        <w:trPr>
          <w:trHeight w:val="293"/>
        </w:trPr>
        <w:tc>
          <w:tcPr>
            <w:tcW w:w="669" w:type="dxa"/>
            <w:vMerge/>
            <w:vAlign w:val="center"/>
            <w:hideMark/>
          </w:tcPr>
          <w:p w14:paraId="624CA2D8"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C3F6D97" w14:textId="77777777" w:rsidTr="7D1789CB">
        <w:trPr>
          <w:trHeight w:val="293"/>
        </w:trPr>
        <w:tc>
          <w:tcPr>
            <w:tcW w:w="669" w:type="dxa"/>
            <w:vMerge/>
            <w:vAlign w:val="center"/>
            <w:hideMark/>
          </w:tcPr>
          <w:p w14:paraId="45BEE2C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8B44CE" w:rsidRPr="00945A47" w:rsidRDefault="008B44CE" w:rsidP="008B44CE">
            <w:pPr>
              <w:rPr>
                <w:rFonts w:ascii="Arial" w:eastAsia="Times New Roman" w:hAnsi="Arial" w:cs="Arial"/>
                <w:sz w:val="20"/>
                <w:szCs w:val="20"/>
                <w:lang w:eastAsia="es-ES_tradnl"/>
              </w:rPr>
            </w:pPr>
          </w:p>
        </w:tc>
      </w:tr>
      <w:tr w:rsidR="008B44CE" w:rsidRPr="004C232E" w14:paraId="19BAB6C0" w14:textId="77777777" w:rsidTr="00C0483F">
        <w:trPr>
          <w:trHeight w:val="293"/>
        </w:trPr>
        <w:tc>
          <w:tcPr>
            <w:tcW w:w="669" w:type="dxa"/>
            <w:vMerge/>
            <w:vAlign w:val="center"/>
            <w:hideMark/>
          </w:tcPr>
          <w:p w14:paraId="185BFE1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8B44CE" w:rsidRPr="00945A47" w:rsidRDefault="008B44CE" w:rsidP="008B44CE">
            <w:pPr>
              <w:rPr>
                <w:rFonts w:ascii="Arial" w:eastAsia="Times New Roman" w:hAnsi="Arial" w:cs="Arial"/>
                <w:sz w:val="20"/>
                <w:szCs w:val="20"/>
                <w:lang w:eastAsia="es-ES_tradnl"/>
              </w:rPr>
            </w:pPr>
          </w:p>
        </w:tc>
      </w:tr>
      <w:tr w:rsidR="008B44C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8B44C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8B44C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3D8B0672" w14:textId="26AD9807" w:rsidR="008B44CE" w:rsidRPr="00945A47" w:rsidRDefault="008B44CE" w:rsidP="008B44CE">
            <w:pPr>
              <w:jc w:val="both"/>
              <w:rPr>
                <w:rFonts w:ascii="Arial" w:eastAsia="Times New Roman" w:hAnsi="Arial" w:cs="Arial"/>
                <w:color w:val="000000"/>
                <w:sz w:val="20"/>
                <w:szCs w:val="20"/>
                <w:lang w:eastAsia="es-ES_tradnl"/>
              </w:rPr>
            </w:pPr>
            <w:r w:rsidRPr="00C0483F">
              <w:rPr>
                <w:rFonts w:ascii="Arial" w:eastAsia="Times New Roman" w:hAnsi="Arial" w:cs="Arial"/>
                <w:color w:val="000000"/>
                <w:sz w:val="20"/>
                <w:szCs w:val="20"/>
                <w:lang w:eastAsia="es-ES_tradnl"/>
              </w:rPr>
              <w:t>Presentar dentro del plazo establecido cada uno de los informes</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de gestión y actividades contra los que se realizará cada uno de</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los pagos.</w:t>
            </w:r>
          </w:p>
        </w:tc>
        <w:tc>
          <w:tcPr>
            <w:tcW w:w="4805" w:type="dxa"/>
            <w:gridSpan w:val="7"/>
            <w:vAlign w:val="center"/>
            <w:hideMark/>
          </w:tcPr>
          <w:p w14:paraId="19831D1B" w14:textId="76CFD2B4" w:rsidR="008B44CE" w:rsidRPr="00945A47" w:rsidRDefault="008B44CE" w:rsidP="008B44CE">
            <w:pPr>
              <w:jc w:val="both"/>
              <w:rPr>
                <w:rFonts w:ascii="Arial" w:eastAsia="Times New Roman" w:hAnsi="Arial" w:cs="Arial"/>
                <w:b/>
                <w:bCs/>
                <w:color w:val="FF0000"/>
                <w:sz w:val="20"/>
                <w:szCs w:val="20"/>
                <w:lang w:eastAsia="es-ES_tradnl"/>
              </w:rPr>
            </w:pPr>
            <w:r w:rsidRPr="003231B0">
              <w:rPr>
                <w:rFonts w:ascii="Arial" w:hAnsi="Arial" w:cs="Arial"/>
                <w:sz w:val="20"/>
                <w:szCs w:val="20"/>
              </w:rPr>
              <w:t xml:space="preserve">Se realiza la entrega del presente informe, cumpliendo el plazo establecido para la presentación </w:t>
            </w:r>
            <w:r w:rsidR="00DE7CB2" w:rsidRPr="003231B0">
              <w:rPr>
                <w:rFonts w:ascii="Arial" w:hAnsi="Arial" w:cs="Arial"/>
                <w:sz w:val="20"/>
                <w:szCs w:val="20"/>
              </w:rPr>
              <w:t>de este</w:t>
            </w:r>
            <w:r w:rsidRPr="003231B0">
              <w:rPr>
                <w:rFonts w:ascii="Arial" w:hAnsi="Arial" w:cs="Arial"/>
                <w:sz w:val="20"/>
                <w:szCs w:val="20"/>
              </w:rPr>
              <w:t>.</w:t>
            </w:r>
          </w:p>
        </w:tc>
      </w:tr>
      <w:tr w:rsidR="008B44CE"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978" w:type="dxa"/>
            <w:gridSpan w:val="10"/>
            <w:vAlign w:val="center"/>
            <w:hideMark/>
          </w:tcPr>
          <w:p w14:paraId="6691F576" w14:textId="00012A1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hideMark/>
          </w:tcPr>
          <w:p w14:paraId="0882A908" w14:textId="1A9D26E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las actividades emprendidas para la ejecución del presente contrato, se dio cumplimiento a las directrices del Sistema de Gestión de calidad del Ministerio de Minas y Energía</w:t>
            </w:r>
          </w:p>
        </w:tc>
      </w:tr>
      <w:tr w:rsidR="008B44CE"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B1948E4" w14:textId="733F8F41"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hideMark/>
          </w:tcPr>
          <w:p w14:paraId="740E36B4" w14:textId="767EECC2"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 xml:space="preserve">Durante el mes se acompaña </w:t>
            </w:r>
            <w:r>
              <w:rPr>
                <w:rFonts w:ascii="Arial" w:eastAsia="Times New Roman" w:hAnsi="Arial" w:cs="Arial"/>
                <w:sz w:val="20"/>
                <w:szCs w:val="20"/>
                <w:lang w:eastAsia="es-ES_tradnl"/>
              </w:rPr>
              <w:t>se atienden reuniones con los diferentes lideres de las estrategias de relacionamiento social y relacionamiento ambiental.</w:t>
            </w:r>
          </w:p>
        </w:tc>
      </w:tr>
      <w:tr w:rsidR="008B44CE"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3C3CAE1C" w14:textId="05DAB5A4"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hideMark/>
          </w:tcPr>
          <w:p w14:paraId="7EF04EBF" w14:textId="3D970688"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dio cumplimiento a la obligación.</w:t>
            </w:r>
          </w:p>
        </w:tc>
      </w:tr>
      <w:tr w:rsidR="008B44CE"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vAlign w:val="center"/>
            <w:hideMark/>
          </w:tcPr>
          <w:p w14:paraId="41972021" w14:textId="29E0510A"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r>
              <w:rPr>
                <w:rFonts w:ascii="Arial" w:eastAsia="Times New Roman" w:hAnsi="Arial" w:cs="Arial"/>
                <w:sz w:val="20"/>
                <w:szCs w:val="20"/>
                <w:lang w:eastAsia="es-ES_tradnl"/>
              </w:rPr>
              <w:t>.</w:t>
            </w:r>
          </w:p>
        </w:tc>
        <w:tc>
          <w:tcPr>
            <w:tcW w:w="4805" w:type="dxa"/>
            <w:gridSpan w:val="7"/>
            <w:vAlign w:val="center"/>
            <w:hideMark/>
          </w:tcPr>
          <w:p w14:paraId="5DB86D06" w14:textId="72B42914"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Se cuenta con 0 requerimientos por gestionar</w:t>
            </w:r>
          </w:p>
        </w:tc>
      </w:tr>
      <w:tr w:rsidR="008B44CE"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4385F9FC" w14:textId="2FC38EA9"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Fonts w:ascii="Arial" w:eastAsia="Times New Roman" w:hAnsi="Arial" w:cs="Arial"/>
                <w:sz w:val="20"/>
                <w:szCs w:val="20"/>
                <w:lang w:eastAsia="es-ES_tradnl"/>
              </w:rPr>
              <w:t>.</w:t>
            </w:r>
          </w:p>
        </w:tc>
        <w:tc>
          <w:tcPr>
            <w:tcW w:w="4805" w:type="dxa"/>
            <w:gridSpan w:val="7"/>
            <w:vAlign w:val="center"/>
            <w:hideMark/>
          </w:tcPr>
          <w:p w14:paraId="05D418AF" w14:textId="2D9FD2D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divulgó información sin autorización previa y expresa del Ministerio de Minas y Energía; así mismo, se cumplen con los mecanismos de cuidado, protección y manejo de la información establecidos</w:t>
            </w:r>
          </w:p>
        </w:tc>
      </w:tr>
      <w:tr w:rsidR="008B44CE"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02524092" w14:textId="7FA0EACC"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hideMark/>
          </w:tcPr>
          <w:p w14:paraId="58B652F2" w14:textId="77777777" w:rsidR="008B44CE" w:rsidRPr="003231B0" w:rsidRDefault="008B44CE" w:rsidP="008B44CE">
            <w:pPr>
              <w:ind w:left="1300" w:hanging="1300"/>
              <w:jc w:val="both"/>
              <w:rPr>
                <w:rFonts w:ascii="Arial" w:hAnsi="Arial" w:cs="Arial"/>
                <w:sz w:val="20"/>
                <w:szCs w:val="20"/>
              </w:rPr>
            </w:pPr>
            <w:r w:rsidRPr="003231B0">
              <w:rPr>
                <w:rFonts w:ascii="Arial" w:hAnsi="Arial" w:cs="Arial"/>
                <w:sz w:val="20"/>
                <w:szCs w:val="20"/>
              </w:rPr>
              <w:t>Acuerdo de confidencialidad suscrito y</w:t>
            </w:r>
          </w:p>
          <w:p w14:paraId="2883D185" w14:textId="6598E2F5" w:rsidR="008B44CE" w:rsidRPr="00945A47" w:rsidRDefault="008B44CE" w:rsidP="008B44CE">
            <w:pPr>
              <w:ind w:left="1300" w:hanging="1300"/>
              <w:jc w:val="both"/>
              <w:rPr>
                <w:rFonts w:ascii="Arial" w:eastAsia="Times New Roman" w:hAnsi="Arial" w:cs="Arial"/>
                <w:sz w:val="20"/>
                <w:szCs w:val="20"/>
                <w:lang w:eastAsia="es-ES_tradnl"/>
              </w:rPr>
            </w:pPr>
            <w:r w:rsidRPr="003231B0">
              <w:rPr>
                <w:rFonts w:ascii="Arial" w:hAnsi="Arial" w:cs="Arial"/>
                <w:sz w:val="20"/>
                <w:szCs w:val="20"/>
              </w:rPr>
              <w:t xml:space="preserve">publicado en la plataforma </w:t>
            </w:r>
            <w:proofErr w:type="spellStart"/>
            <w:r w:rsidRPr="003231B0">
              <w:rPr>
                <w:rFonts w:ascii="Arial" w:hAnsi="Arial" w:cs="Arial"/>
                <w:sz w:val="20"/>
                <w:szCs w:val="20"/>
              </w:rPr>
              <w:t>Secop</w:t>
            </w:r>
            <w:proofErr w:type="spellEnd"/>
            <w:r w:rsidRPr="003231B0">
              <w:rPr>
                <w:rFonts w:ascii="Arial" w:hAnsi="Arial" w:cs="Arial"/>
                <w:sz w:val="20"/>
                <w:szCs w:val="20"/>
              </w:rPr>
              <w:t xml:space="preserve"> II</w:t>
            </w:r>
          </w:p>
        </w:tc>
      </w:tr>
      <w:tr w:rsidR="008B44CE"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vAlign w:val="center"/>
            <w:hideMark/>
          </w:tcPr>
          <w:p w14:paraId="7719725D" w14:textId="4F7DF39F"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hideMark/>
          </w:tcPr>
          <w:p w14:paraId="26454024" w14:textId="354F5233" w:rsidR="008B44CE" w:rsidRPr="00945A47" w:rsidRDefault="008B44CE" w:rsidP="008B44CE">
            <w:pPr>
              <w:jc w:val="both"/>
              <w:rPr>
                <w:rFonts w:ascii="Arial" w:eastAsia="Times New Roman" w:hAnsi="Arial" w:cs="Arial"/>
                <w:sz w:val="20"/>
                <w:szCs w:val="20"/>
                <w:lang w:eastAsia="es-ES_tradnl"/>
              </w:rPr>
            </w:pPr>
            <w:r w:rsidRPr="00A4417F">
              <w:rPr>
                <w:rFonts w:ascii="Arial" w:hAnsi="Arial" w:cs="Arial"/>
                <w:sz w:val="20"/>
                <w:szCs w:val="20"/>
              </w:rPr>
              <w:t>Se realiza pago de aportes correspondiente de conformidad con la normatividad vigente</w:t>
            </w:r>
          </w:p>
        </w:tc>
      </w:tr>
      <w:tr w:rsidR="008B44CE"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3611635F" w14:textId="0FE4C1F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 xml:space="preserve">En caso de que le sean entregados, para el cumplimiento de sus actividades contractuales equipos y elementos de propiedad del Ministerio de Minas y Energía, responder por la salvaguarda y preservación de </w:t>
            </w:r>
            <w:proofErr w:type="gramStart"/>
            <w:r w:rsidRPr="00C0483F">
              <w:rPr>
                <w:rFonts w:ascii="Arial" w:eastAsia="Times New Roman" w:hAnsi="Arial" w:cs="Arial"/>
                <w:sz w:val="20"/>
                <w:szCs w:val="20"/>
                <w:lang w:eastAsia="es-ES_tradnl"/>
              </w:rPr>
              <w:t>los mismos</w:t>
            </w:r>
            <w:proofErr w:type="gramEnd"/>
            <w:r w:rsidRPr="00C0483F">
              <w:rPr>
                <w:rFonts w:ascii="Arial" w:eastAsia="Times New Roman" w:hAnsi="Arial" w:cs="Arial"/>
                <w:sz w:val="20"/>
                <w:szCs w:val="20"/>
                <w:lang w:eastAsia="es-ES_tradnl"/>
              </w:rPr>
              <w:t>.</w:t>
            </w:r>
          </w:p>
        </w:tc>
        <w:tc>
          <w:tcPr>
            <w:tcW w:w="4805" w:type="dxa"/>
            <w:gridSpan w:val="7"/>
            <w:vAlign w:val="center"/>
            <w:hideMark/>
          </w:tcPr>
          <w:p w14:paraId="541DF35A" w14:textId="7A53DEE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presentación del presente informe no me han asignado equipos ni elementos del Ministerio de Minas y Energía de los cuales deba responder. Por tanto, esta obligación no aplica para el presente periodo.</w:t>
            </w:r>
          </w:p>
        </w:tc>
      </w:tr>
      <w:tr w:rsidR="008B44CE"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35EF1800" w14:textId="4666CB82"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30787E22" w14:textId="7847BCC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El día 1</w:t>
            </w:r>
            <w:r>
              <w:rPr>
                <w:rFonts w:ascii="Arial" w:hAnsi="Arial" w:cs="Arial"/>
                <w:sz w:val="20"/>
                <w:szCs w:val="20"/>
              </w:rPr>
              <w:t>3</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se realizó la afiliación a la ARL en la compañía POSITIVA COMPAÑÍA DE SEGUROS, con cobertura desde el </w:t>
            </w:r>
            <w:r>
              <w:rPr>
                <w:rFonts w:ascii="Arial" w:hAnsi="Arial" w:cs="Arial"/>
                <w:sz w:val="20"/>
                <w:szCs w:val="20"/>
              </w:rPr>
              <w:t>14</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hasta el 31/01/202</w:t>
            </w:r>
            <w:r>
              <w:rPr>
                <w:rFonts w:ascii="Arial" w:hAnsi="Arial" w:cs="Arial"/>
                <w:sz w:val="20"/>
                <w:szCs w:val="20"/>
              </w:rPr>
              <w:t>6</w:t>
            </w:r>
            <w:r w:rsidRPr="003231B0">
              <w:rPr>
                <w:rFonts w:ascii="Arial" w:hAnsi="Arial" w:cs="Arial"/>
                <w:sz w:val="20"/>
                <w:szCs w:val="20"/>
              </w:rPr>
              <w:t>, tipo independiente, para el contratista en el Ministerio de Minas y Energía</w:t>
            </w:r>
          </w:p>
        </w:tc>
      </w:tr>
      <w:tr w:rsidR="008B44CE"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vAlign w:val="center"/>
            <w:hideMark/>
          </w:tcPr>
          <w:p w14:paraId="5F46A778" w14:textId="0561CE4B"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34939E2E" w14:textId="1173CF0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 ejecución del objeto contractual se atendieron todas las recomendaciones e instrucciones del supervisor, a fin de mantener los estándares de calidad del Ministerio de Minas y Energía.</w:t>
            </w:r>
          </w:p>
        </w:tc>
      </w:tr>
      <w:tr w:rsidR="008B44CE" w:rsidRPr="004C232E" w14:paraId="65D93C9D" w14:textId="77777777" w:rsidTr="00481AF7">
        <w:trPr>
          <w:trHeight w:val="861"/>
        </w:trPr>
        <w:tc>
          <w:tcPr>
            <w:tcW w:w="669" w:type="dxa"/>
            <w:shd w:val="clear" w:color="auto" w:fill="D9D9D9" w:themeFill="background1" w:themeFillShade="D9"/>
            <w:vAlign w:val="center"/>
          </w:tcPr>
          <w:p w14:paraId="26009B8C" w14:textId="11D3CCF9"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12</w:t>
            </w:r>
          </w:p>
        </w:tc>
        <w:tc>
          <w:tcPr>
            <w:tcW w:w="4978" w:type="dxa"/>
            <w:gridSpan w:val="10"/>
            <w:vAlign w:val="center"/>
          </w:tcPr>
          <w:p w14:paraId="005C194A" w14:textId="02F60FA7"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vAlign w:val="center"/>
          </w:tcPr>
          <w:p w14:paraId="6842CDAC" w14:textId="6D5447E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Durante el mes no se adelantaron actividades asociadas a esta obligación.</w:t>
            </w:r>
          </w:p>
        </w:tc>
      </w:tr>
      <w:tr w:rsidR="008B44CE" w:rsidRPr="004C232E" w14:paraId="0309DCC0" w14:textId="77777777" w:rsidTr="00481AF7">
        <w:trPr>
          <w:trHeight w:val="861"/>
        </w:trPr>
        <w:tc>
          <w:tcPr>
            <w:tcW w:w="669" w:type="dxa"/>
            <w:shd w:val="clear" w:color="auto" w:fill="D9D9D9" w:themeFill="background1" w:themeFillShade="D9"/>
            <w:vAlign w:val="center"/>
          </w:tcPr>
          <w:p w14:paraId="66CAC643" w14:textId="30DC7A5D"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vAlign w:val="center"/>
          </w:tcPr>
          <w:p w14:paraId="0C24DA93" w14:textId="38BACB03"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tcPr>
          <w:p w14:paraId="7CE1F1E5" w14:textId="0D18E0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presentaron acciones u omisiones. Todas las actuaciones del contratista se enmarcan en la legalidad y moralidad del servicio público</w:t>
            </w:r>
          </w:p>
        </w:tc>
      </w:tr>
      <w:tr w:rsidR="008B44CE" w:rsidRPr="004C232E" w14:paraId="061D20F8" w14:textId="77777777" w:rsidTr="00481AF7">
        <w:trPr>
          <w:trHeight w:val="861"/>
        </w:trPr>
        <w:tc>
          <w:tcPr>
            <w:tcW w:w="669" w:type="dxa"/>
            <w:shd w:val="clear" w:color="auto" w:fill="D9D9D9" w:themeFill="background1" w:themeFillShade="D9"/>
            <w:vAlign w:val="center"/>
          </w:tcPr>
          <w:p w14:paraId="7FE9C8AF" w14:textId="171A28DB"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46C4D81C" w14:textId="4490F08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tcPr>
          <w:p w14:paraId="08A391CD" w14:textId="3192BB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En el mes actualizó la información </w:t>
            </w:r>
            <w:r>
              <w:rPr>
                <w:rFonts w:ascii="Arial" w:hAnsi="Arial" w:cs="Arial"/>
                <w:sz w:val="20"/>
                <w:szCs w:val="20"/>
              </w:rPr>
              <w:t>frente al plan de pagos y evidencias de la gestión del presente informe.</w:t>
            </w:r>
          </w:p>
        </w:tc>
      </w:tr>
      <w:tr w:rsidR="008B44CE" w:rsidRPr="004C232E" w14:paraId="1A6B6AAA" w14:textId="77777777" w:rsidTr="00481AF7">
        <w:trPr>
          <w:trHeight w:val="861"/>
        </w:trPr>
        <w:tc>
          <w:tcPr>
            <w:tcW w:w="669" w:type="dxa"/>
            <w:shd w:val="clear" w:color="auto" w:fill="D9D9D9" w:themeFill="background1" w:themeFillShade="D9"/>
            <w:vAlign w:val="center"/>
          </w:tcPr>
          <w:p w14:paraId="38DDA976" w14:textId="56416A52"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2ABAD6A1" w14:textId="5E827D7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tcPr>
          <w:p w14:paraId="5CC8B242" w14:textId="5ED5FD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procede con el correspondiente cargue de información en la plataforma Neón.</w:t>
            </w:r>
          </w:p>
        </w:tc>
      </w:tr>
      <w:tr w:rsidR="008B44CE" w:rsidRPr="004C232E" w14:paraId="2F9CDBA1" w14:textId="77777777" w:rsidTr="00481AF7">
        <w:trPr>
          <w:trHeight w:val="861"/>
        </w:trPr>
        <w:tc>
          <w:tcPr>
            <w:tcW w:w="669" w:type="dxa"/>
            <w:shd w:val="clear" w:color="auto" w:fill="D9D9D9" w:themeFill="background1" w:themeFillShade="D9"/>
            <w:vAlign w:val="center"/>
          </w:tcPr>
          <w:p w14:paraId="5F491F59" w14:textId="7824F39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vAlign w:val="center"/>
          </w:tcPr>
          <w:p w14:paraId="13447BF1" w14:textId="26D1492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45538186" w14:textId="0CB1869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a cabalidad con el contrato de conformidad con las obligaciones y términos establecidos.</w:t>
            </w:r>
          </w:p>
        </w:tc>
      </w:tr>
      <w:tr w:rsidR="008B44CE" w:rsidRPr="004C232E" w14:paraId="41B79D28" w14:textId="77777777" w:rsidTr="00481AF7">
        <w:trPr>
          <w:trHeight w:val="861"/>
        </w:trPr>
        <w:tc>
          <w:tcPr>
            <w:tcW w:w="669" w:type="dxa"/>
            <w:shd w:val="clear" w:color="auto" w:fill="D9D9D9" w:themeFill="background1" w:themeFillShade="D9"/>
            <w:vAlign w:val="center"/>
          </w:tcPr>
          <w:p w14:paraId="516DD99D" w14:textId="634A5FC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7E423C04" w14:textId="30D07D51"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4E057072" w14:textId="3EBD0106"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entrega el presente informe, cumpliendo el plazo y los requisitos establecidos en el presente contrato</w:t>
            </w:r>
          </w:p>
        </w:tc>
      </w:tr>
      <w:tr w:rsidR="008B44CE" w:rsidRPr="004C232E" w14:paraId="3BEE62E4" w14:textId="77777777" w:rsidTr="00481AF7">
        <w:trPr>
          <w:trHeight w:val="861"/>
        </w:trPr>
        <w:tc>
          <w:tcPr>
            <w:tcW w:w="669" w:type="dxa"/>
            <w:shd w:val="clear" w:color="auto" w:fill="D9D9D9" w:themeFill="background1" w:themeFillShade="D9"/>
            <w:vAlign w:val="center"/>
          </w:tcPr>
          <w:p w14:paraId="0F58EB70" w14:textId="35B5F417"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614CCECC" w14:textId="59EDFEDE"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3AD7F8AD" w14:textId="77777777" w:rsidR="008B44CE" w:rsidRPr="003231B0" w:rsidRDefault="008B44CE" w:rsidP="008B44CE">
            <w:pPr>
              <w:jc w:val="both"/>
              <w:rPr>
                <w:rFonts w:ascii="Arial" w:hAnsi="Arial" w:cs="Arial"/>
                <w:sz w:val="20"/>
                <w:szCs w:val="20"/>
              </w:rPr>
            </w:pPr>
            <w:r w:rsidRPr="003231B0">
              <w:rPr>
                <w:rFonts w:ascii="Arial" w:hAnsi="Arial" w:cs="Arial"/>
                <w:sz w:val="20"/>
                <w:szCs w:val="20"/>
              </w:rPr>
              <w:t xml:space="preserve">Se adjunta captura de pantalla de </w:t>
            </w:r>
            <w:r>
              <w:rPr>
                <w:rFonts w:ascii="Arial" w:hAnsi="Arial" w:cs="Arial"/>
                <w:sz w:val="20"/>
                <w:szCs w:val="20"/>
              </w:rPr>
              <w:t xml:space="preserve">SECOP II como anexo del informe </w:t>
            </w:r>
          </w:p>
          <w:p w14:paraId="5AA6614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A697DE4" w14:textId="77777777" w:rsidTr="00481AF7">
        <w:trPr>
          <w:trHeight w:val="861"/>
        </w:trPr>
        <w:tc>
          <w:tcPr>
            <w:tcW w:w="669" w:type="dxa"/>
            <w:shd w:val="clear" w:color="auto" w:fill="D9D9D9" w:themeFill="background1" w:themeFillShade="D9"/>
            <w:vAlign w:val="center"/>
          </w:tcPr>
          <w:p w14:paraId="1ED8B5DD" w14:textId="537A3E2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7AC5A989" w14:textId="6D52833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Entregar al finalizar el contrato </w:t>
            </w:r>
            <w:proofErr w:type="gramStart"/>
            <w:r w:rsidRPr="00A92142">
              <w:rPr>
                <w:rFonts w:ascii="Arial" w:eastAsia="Times New Roman" w:hAnsi="Arial" w:cs="Arial"/>
                <w:sz w:val="20"/>
                <w:szCs w:val="20"/>
                <w:lang w:eastAsia="es-ES_tradnl"/>
              </w:rPr>
              <w:t xml:space="preserve">un </w:t>
            </w:r>
            <w:proofErr w:type="spellStart"/>
            <w:r w:rsidRPr="00A92142">
              <w:rPr>
                <w:rFonts w:ascii="Arial" w:eastAsia="Times New Roman" w:hAnsi="Arial" w:cs="Arial"/>
                <w:sz w:val="20"/>
                <w:szCs w:val="20"/>
                <w:lang w:eastAsia="es-ES_tradnl"/>
              </w:rPr>
              <w:t>backup</w:t>
            </w:r>
            <w:proofErr w:type="spellEnd"/>
            <w:proofErr w:type="gramEnd"/>
            <w:r w:rsidRPr="00A92142">
              <w:rPr>
                <w:rFonts w:ascii="Arial" w:eastAsia="Times New Roman" w:hAnsi="Arial" w:cs="Arial"/>
                <w:sz w:val="20"/>
                <w:szCs w:val="20"/>
                <w:lang w:eastAsia="es-ES_tradnl"/>
              </w:rPr>
              <w:t xml:space="preserve"> con toda la información adelantada durante la ejecución </w:t>
            </w:r>
            <w:proofErr w:type="gramStart"/>
            <w:r w:rsidRPr="00A92142">
              <w:rPr>
                <w:rFonts w:ascii="Arial" w:eastAsia="Times New Roman" w:hAnsi="Arial" w:cs="Arial"/>
                <w:sz w:val="20"/>
                <w:szCs w:val="20"/>
                <w:lang w:eastAsia="es-ES_tradnl"/>
              </w:rPr>
              <w:t>del mismo</w:t>
            </w:r>
            <w:proofErr w:type="gramEnd"/>
            <w:r w:rsidRPr="00A92142">
              <w:rPr>
                <w:rFonts w:ascii="Arial" w:eastAsia="Times New Roman" w:hAnsi="Arial" w:cs="Arial"/>
                <w:sz w:val="20"/>
                <w:szCs w:val="20"/>
                <w:lang w:eastAsia="es-ES_tradnl"/>
              </w:rPr>
              <w:t>.</w:t>
            </w:r>
          </w:p>
        </w:tc>
        <w:tc>
          <w:tcPr>
            <w:tcW w:w="4805" w:type="dxa"/>
            <w:gridSpan w:val="7"/>
            <w:vAlign w:val="center"/>
          </w:tcPr>
          <w:p w14:paraId="0C05ED33" w14:textId="29F58A8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dará cumplimiento a la presente obligación una vez se termine el contrato</w:t>
            </w:r>
          </w:p>
        </w:tc>
      </w:tr>
      <w:tr w:rsidR="008B44CE" w:rsidRPr="004C232E" w14:paraId="41D9199E" w14:textId="77777777" w:rsidTr="00481AF7">
        <w:trPr>
          <w:trHeight w:val="861"/>
        </w:trPr>
        <w:tc>
          <w:tcPr>
            <w:tcW w:w="669" w:type="dxa"/>
            <w:shd w:val="clear" w:color="auto" w:fill="D9D9D9" w:themeFill="background1" w:themeFillShade="D9"/>
            <w:vAlign w:val="center"/>
          </w:tcPr>
          <w:p w14:paraId="6EC687FB" w14:textId="6D4A1D67"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515BA444" w14:textId="48575CE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Efectuar a través del supervisor del contrato la entrega de los bienes de propiedad del Ministerio de Minas y Energía que le hubieren sido entregados durante la ejecución del contrato de conformidad con el Manual para el manejo de los bienes de propiedad del Ministerio de Minas y Energía.</w:t>
            </w:r>
          </w:p>
        </w:tc>
        <w:tc>
          <w:tcPr>
            <w:tcW w:w="4805" w:type="dxa"/>
            <w:gridSpan w:val="7"/>
            <w:vAlign w:val="center"/>
          </w:tcPr>
          <w:p w14:paraId="43B996C0" w14:textId="34E2CCB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fecha del presente informe no se cuenta con bienes de propiedad del Ministerio de Minas y Energía asignados</w:t>
            </w:r>
          </w:p>
        </w:tc>
      </w:tr>
      <w:tr w:rsidR="008B44CE" w:rsidRPr="004C232E" w14:paraId="312266DF" w14:textId="77777777" w:rsidTr="00481AF7">
        <w:trPr>
          <w:trHeight w:val="861"/>
        </w:trPr>
        <w:tc>
          <w:tcPr>
            <w:tcW w:w="669" w:type="dxa"/>
            <w:shd w:val="clear" w:color="auto" w:fill="D9D9D9" w:themeFill="background1" w:themeFillShade="D9"/>
            <w:vAlign w:val="center"/>
          </w:tcPr>
          <w:p w14:paraId="0490A16C" w14:textId="3BF44644"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3B8D63C2" w14:textId="3C9A652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Devolver el </w:t>
            </w:r>
            <w:proofErr w:type="gramStart"/>
            <w:r w:rsidRPr="00A92142">
              <w:rPr>
                <w:rFonts w:ascii="Arial" w:eastAsia="Times New Roman" w:hAnsi="Arial" w:cs="Arial"/>
                <w:sz w:val="20"/>
                <w:szCs w:val="20"/>
                <w:lang w:eastAsia="es-ES_tradnl"/>
              </w:rPr>
              <w:t>carnet</w:t>
            </w:r>
            <w:proofErr w:type="gramEnd"/>
            <w:r w:rsidRPr="00A92142">
              <w:rPr>
                <w:rFonts w:ascii="Arial" w:eastAsia="Times New Roman" w:hAnsi="Arial" w:cs="Arial"/>
                <w:sz w:val="20"/>
                <w:szCs w:val="20"/>
                <w:lang w:eastAsia="es-ES_tradnl"/>
              </w:rPr>
              <w:t xml:space="preserve"> de identificación como contratista</w:t>
            </w:r>
          </w:p>
        </w:tc>
        <w:tc>
          <w:tcPr>
            <w:tcW w:w="4805" w:type="dxa"/>
            <w:gridSpan w:val="7"/>
            <w:vAlign w:val="center"/>
          </w:tcPr>
          <w:p w14:paraId="3A38D3CE" w14:textId="3ED2EE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A la fecha del presente informe no se cuenta con tarjeta de acceso al Grupo de Servicios Administrativos, ni con </w:t>
            </w:r>
            <w:proofErr w:type="gramStart"/>
            <w:r w:rsidRPr="003231B0">
              <w:rPr>
                <w:rFonts w:ascii="Arial" w:hAnsi="Arial" w:cs="Arial"/>
                <w:sz w:val="20"/>
                <w:szCs w:val="20"/>
              </w:rPr>
              <w:t>carnet</w:t>
            </w:r>
            <w:proofErr w:type="gramEnd"/>
            <w:r w:rsidRPr="003231B0">
              <w:rPr>
                <w:rFonts w:ascii="Arial" w:hAnsi="Arial" w:cs="Arial"/>
                <w:sz w:val="20"/>
                <w:szCs w:val="20"/>
              </w:rPr>
              <w:t>. Por tanto, no aplica la presente obligación</w:t>
            </w:r>
          </w:p>
        </w:tc>
      </w:tr>
      <w:tr w:rsidR="008B44CE" w:rsidRPr="004C232E" w14:paraId="2EA94237" w14:textId="77777777" w:rsidTr="00481AF7">
        <w:trPr>
          <w:trHeight w:val="861"/>
        </w:trPr>
        <w:tc>
          <w:tcPr>
            <w:tcW w:w="669" w:type="dxa"/>
            <w:shd w:val="clear" w:color="auto" w:fill="D9D9D9" w:themeFill="background1" w:themeFillShade="D9"/>
            <w:vAlign w:val="center"/>
          </w:tcPr>
          <w:p w14:paraId="1253C95D" w14:textId="0CD5A0D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3360AB2F" w14:textId="2F7AF0B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vAlign w:val="center"/>
          </w:tcPr>
          <w:p w14:paraId="1E93FEF8" w14:textId="15955D0C"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los lineamientos en SST y con base en el SG-SST que genere y adopte el Ministerio de Minas y Energía</w:t>
            </w:r>
          </w:p>
        </w:tc>
      </w:tr>
      <w:tr w:rsidR="008B44CE" w:rsidRPr="004C232E" w14:paraId="76D56BEE" w14:textId="77777777" w:rsidTr="00481AF7">
        <w:trPr>
          <w:trHeight w:val="861"/>
        </w:trPr>
        <w:tc>
          <w:tcPr>
            <w:tcW w:w="669" w:type="dxa"/>
            <w:shd w:val="clear" w:color="auto" w:fill="D9D9D9" w:themeFill="background1" w:themeFillShade="D9"/>
            <w:vAlign w:val="center"/>
          </w:tcPr>
          <w:p w14:paraId="47F22CD0" w14:textId="48ECFB9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23</w:t>
            </w:r>
          </w:p>
        </w:tc>
        <w:tc>
          <w:tcPr>
            <w:tcW w:w="4978" w:type="dxa"/>
            <w:gridSpan w:val="10"/>
            <w:vAlign w:val="center"/>
          </w:tcPr>
          <w:p w14:paraId="30ADFFE7" w14:textId="58FC1CD7"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Constituir la garantía de cumplimiento y mantenerla vigente durante la ejecución del contrato, cuando sean requerida</w:t>
            </w:r>
          </w:p>
        </w:tc>
        <w:tc>
          <w:tcPr>
            <w:tcW w:w="4805" w:type="dxa"/>
            <w:gridSpan w:val="7"/>
            <w:vAlign w:val="center"/>
          </w:tcPr>
          <w:p w14:paraId="1E3F20AE" w14:textId="21269700"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solicitó para el presente contrato.</w:t>
            </w:r>
          </w:p>
        </w:tc>
      </w:tr>
      <w:tr w:rsidR="008B44CE" w:rsidRPr="004C232E" w14:paraId="090EE9B4" w14:textId="77777777" w:rsidTr="00481AF7">
        <w:trPr>
          <w:trHeight w:val="861"/>
        </w:trPr>
        <w:tc>
          <w:tcPr>
            <w:tcW w:w="669" w:type="dxa"/>
            <w:shd w:val="clear" w:color="auto" w:fill="D9D9D9" w:themeFill="background1" w:themeFillShade="D9"/>
            <w:vAlign w:val="center"/>
          </w:tcPr>
          <w:p w14:paraId="7EDBB815" w14:textId="2272D580"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4E31FB48" w14:textId="4AAA9C52"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6E81EA85" w14:textId="118ED9BB"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los equipos y herramientas, idóneos para el cumplimiento del contrato.</w:t>
            </w:r>
          </w:p>
        </w:tc>
      </w:tr>
      <w:tr w:rsidR="008B44CE" w:rsidRPr="004C232E" w14:paraId="15535B30" w14:textId="77777777" w:rsidTr="00481AF7">
        <w:trPr>
          <w:trHeight w:val="861"/>
        </w:trPr>
        <w:tc>
          <w:tcPr>
            <w:tcW w:w="669" w:type="dxa"/>
            <w:shd w:val="clear" w:color="auto" w:fill="D9D9D9" w:themeFill="background1" w:themeFillShade="D9"/>
            <w:vAlign w:val="center"/>
          </w:tcPr>
          <w:p w14:paraId="783F9FB3" w14:textId="0F6488D6"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vAlign w:val="center"/>
          </w:tcPr>
          <w:p w14:paraId="3BDE83A6" w14:textId="0695846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626D4740" w14:textId="61176AB2"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el esquema de vacunación completo y se cumplió con los protocolos de bioseguridad.</w:t>
            </w:r>
          </w:p>
        </w:tc>
      </w:tr>
      <w:tr w:rsidR="008B44CE" w:rsidRPr="004C232E" w14:paraId="323B6741" w14:textId="77777777" w:rsidTr="00481AF7">
        <w:trPr>
          <w:trHeight w:val="861"/>
        </w:trPr>
        <w:tc>
          <w:tcPr>
            <w:tcW w:w="669" w:type="dxa"/>
            <w:shd w:val="clear" w:color="auto" w:fill="D9D9D9" w:themeFill="background1" w:themeFillShade="D9"/>
            <w:vAlign w:val="center"/>
          </w:tcPr>
          <w:p w14:paraId="7B92C09B" w14:textId="623DF6B5"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47F3F078" w14:textId="6B83412A"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745D16AA" w14:textId="00F36D25"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las políticas internas que genere y adopte el Ministerio de Minas y Energía.</w:t>
            </w:r>
          </w:p>
        </w:tc>
      </w:tr>
      <w:tr w:rsidR="008B44CE" w:rsidRPr="004C232E" w14:paraId="5F47DA59" w14:textId="77777777" w:rsidTr="00481AF7">
        <w:trPr>
          <w:trHeight w:val="861"/>
        </w:trPr>
        <w:tc>
          <w:tcPr>
            <w:tcW w:w="669" w:type="dxa"/>
            <w:shd w:val="clear" w:color="auto" w:fill="D9D9D9" w:themeFill="background1" w:themeFillShade="D9"/>
            <w:vAlign w:val="center"/>
          </w:tcPr>
          <w:p w14:paraId="72009A1E" w14:textId="5C741138"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1C2552E8" w14:textId="3206C791"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5EEA583C" w14:textId="0A988F3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el presente periodo no me fueron asignadas obligaciones adicionales en el marco del contrato de prestación de servicios.</w:t>
            </w:r>
          </w:p>
        </w:tc>
      </w:tr>
      <w:tr w:rsidR="008B44CE"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8B44CE"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8B44CE"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8B44CE"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8B44CE"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hideMark/>
          </w:tcPr>
          <w:p w14:paraId="12712776" w14:textId="29CBBF2F"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contrato GGC-0020-2025</w:t>
            </w:r>
          </w:p>
        </w:tc>
        <w:tc>
          <w:tcPr>
            <w:tcW w:w="4942" w:type="dxa"/>
            <w:gridSpan w:val="9"/>
            <w:vAlign w:val="center"/>
            <w:hideMark/>
          </w:tcPr>
          <w:p w14:paraId="1A039A75" w14:textId="2DBFC488" w:rsidR="008B44CE" w:rsidRPr="00945A47" w:rsidRDefault="008B44CE" w:rsidP="008B44CE">
            <w:pPr>
              <w:jc w:val="both"/>
              <w:rPr>
                <w:rFonts w:ascii="Arial" w:eastAsia="Times New Roman" w:hAnsi="Arial" w:cs="Arial"/>
                <w:sz w:val="20"/>
                <w:szCs w:val="20"/>
                <w:lang w:eastAsia="es-ES_tradnl"/>
              </w:rPr>
            </w:pPr>
          </w:p>
        </w:tc>
      </w:tr>
      <w:tr w:rsidR="008B44CE"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consulta pública en el que podrán ser consultadas estas.</w:t>
            </w:r>
          </w:p>
          <w:p w14:paraId="50417C6A" w14:textId="77777777" w:rsidR="008B44CE" w:rsidRPr="00C815ED" w:rsidRDefault="008B44CE" w:rsidP="008B44CE">
            <w:pPr>
              <w:jc w:val="both"/>
              <w:rPr>
                <w:rFonts w:ascii="Arial" w:eastAsia="Times New Roman" w:hAnsi="Arial" w:cs="Arial"/>
                <w:b/>
                <w:bCs/>
                <w:sz w:val="20"/>
                <w:szCs w:val="20"/>
                <w:lang w:eastAsia="es-ES_tradnl"/>
              </w:rPr>
            </w:pPr>
          </w:p>
          <w:p w14:paraId="7B4EC65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8B44CE" w:rsidRPr="00C815ED" w:rsidRDefault="008B44CE" w:rsidP="008B44CE">
            <w:pPr>
              <w:jc w:val="both"/>
              <w:rPr>
                <w:rFonts w:ascii="Arial" w:eastAsia="Times New Roman" w:hAnsi="Arial" w:cs="Arial"/>
                <w:b/>
                <w:bCs/>
                <w:sz w:val="20"/>
                <w:szCs w:val="20"/>
                <w:lang w:eastAsia="es-ES_tradnl"/>
              </w:rPr>
            </w:pPr>
          </w:p>
          <w:p w14:paraId="3F8E17BC" w14:textId="77777777" w:rsidR="008B44CE" w:rsidRPr="00C815ED" w:rsidRDefault="008B44CE" w:rsidP="008B44CE">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8B44CE" w:rsidRPr="00C815ED" w:rsidRDefault="008B44CE" w:rsidP="008B44CE">
            <w:pPr>
              <w:jc w:val="both"/>
              <w:rPr>
                <w:rFonts w:ascii="Arial" w:eastAsia="Times New Roman" w:hAnsi="Arial" w:cs="Arial"/>
                <w:b/>
                <w:sz w:val="20"/>
                <w:szCs w:val="20"/>
                <w:lang w:eastAsia="es-ES_tradnl"/>
              </w:rPr>
            </w:pPr>
          </w:p>
          <w:p w14:paraId="066E0D2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8B44CE" w:rsidRPr="00C815ED" w:rsidRDefault="008B44CE" w:rsidP="008B44CE">
            <w:pPr>
              <w:rPr>
                <w:rFonts w:ascii="Arial" w:eastAsia="Times New Roman" w:hAnsi="Arial" w:cs="Arial"/>
                <w:b/>
                <w:bCs/>
                <w:sz w:val="20"/>
                <w:szCs w:val="20"/>
                <w:lang w:eastAsia="es-ES_tradnl"/>
              </w:rPr>
            </w:pPr>
          </w:p>
        </w:tc>
      </w:tr>
      <w:tr w:rsidR="008B44CE"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8B44CE" w:rsidRPr="00C815ED" w:rsidRDefault="008B44CE" w:rsidP="008B44CE">
            <w:pPr>
              <w:jc w:val="center"/>
              <w:rPr>
                <w:rFonts w:ascii="Arial" w:eastAsia="Times New Roman" w:hAnsi="Arial" w:cs="Arial"/>
                <w:b/>
                <w:bCs/>
                <w:sz w:val="20"/>
                <w:szCs w:val="20"/>
                <w:lang w:eastAsia="es-ES_tradnl"/>
              </w:rPr>
            </w:pP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VERIFICACIÓN DE EVIDENCIAS, SECOP II.</w:t>
            </w:r>
          </w:p>
        </w:tc>
      </w:tr>
      <w:tr w:rsidR="008B44CE" w:rsidRPr="00945A47" w14:paraId="0FEAACA0" w14:textId="77777777" w:rsidTr="003D3DA7">
        <w:trPr>
          <w:trHeight w:val="627"/>
        </w:trPr>
        <w:tc>
          <w:tcPr>
            <w:tcW w:w="10452" w:type="dxa"/>
            <w:gridSpan w:val="18"/>
            <w:noWrap/>
            <w:vAlign w:val="center"/>
          </w:tcPr>
          <w:p w14:paraId="0697DD0E" w14:textId="77777777" w:rsidR="008B44CE" w:rsidRDefault="008B44CE" w:rsidP="008B44CE">
            <w:pPr>
              <w:jc w:val="center"/>
              <w:rPr>
                <w:rFonts w:ascii="Arial" w:eastAsia="Times New Roman" w:hAnsi="Arial" w:cs="Arial"/>
                <w:b/>
                <w:bCs/>
                <w:sz w:val="20"/>
                <w:szCs w:val="20"/>
                <w:lang w:eastAsia="es-ES_tradnl"/>
              </w:rPr>
            </w:pPr>
          </w:p>
          <w:p w14:paraId="0B081DA8" w14:textId="61EBF78C" w:rsidR="008B44CE" w:rsidRDefault="008B44CE" w:rsidP="008B44CE">
            <w:pPr>
              <w:jc w:val="center"/>
              <w:rPr>
                <w:rFonts w:ascii="Arial" w:eastAsia="Times New Roman" w:hAnsi="Arial" w:cs="Arial"/>
                <w:b/>
                <w:bCs/>
                <w:sz w:val="20"/>
                <w:szCs w:val="20"/>
                <w:lang w:eastAsia="es-ES_tradnl"/>
              </w:rPr>
            </w:pPr>
            <w:hyperlink r:id="rId9" w:history="1">
              <w:r w:rsidRPr="00426044">
                <w:rPr>
                  <w:rStyle w:val="Hipervnculo"/>
                  <w:rFonts w:ascii="Arial" w:eastAsia="Times New Roman" w:hAnsi="Arial" w:cs="Arial"/>
                  <w:b/>
                  <w:bCs/>
                  <w:sz w:val="20"/>
                  <w:szCs w:val="20"/>
                  <w:lang w:eastAsia="es-ES_tradnl"/>
                </w:rPr>
                <w:t>https://community.secop.gov.co/Public/Tendering/OpportunityDetail/Index?noticeUID=CO1.NTC.7320333&amp;isFromPublicArea=True&amp;isModal=true&amp;asPopupView=true</w:t>
              </w:r>
            </w:hyperlink>
          </w:p>
          <w:p w14:paraId="340A03E1" w14:textId="77777777" w:rsidR="008B44CE" w:rsidRDefault="008B44CE" w:rsidP="008B44CE">
            <w:pPr>
              <w:jc w:val="center"/>
              <w:rPr>
                <w:rFonts w:ascii="Arial" w:eastAsia="Times New Roman" w:hAnsi="Arial" w:cs="Arial"/>
                <w:b/>
                <w:bCs/>
                <w:sz w:val="20"/>
                <w:szCs w:val="20"/>
                <w:lang w:eastAsia="es-ES_tradnl"/>
              </w:rPr>
            </w:pPr>
          </w:p>
          <w:p w14:paraId="24BD5ECD" w14:textId="77777777" w:rsidR="008B44CE" w:rsidRDefault="008B44CE" w:rsidP="008B44CE">
            <w:pPr>
              <w:jc w:val="center"/>
              <w:rPr>
                <w:rFonts w:ascii="Arial" w:eastAsia="Times New Roman" w:hAnsi="Arial" w:cs="Arial"/>
                <w:b/>
                <w:bCs/>
                <w:sz w:val="20"/>
                <w:szCs w:val="20"/>
                <w:lang w:eastAsia="es-ES_tradnl"/>
              </w:rPr>
            </w:pPr>
          </w:p>
        </w:tc>
      </w:tr>
      <w:tr w:rsidR="008B44CE"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8B44CE"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8B44CE" w:rsidRPr="00945A47" w:rsidRDefault="008B44CE" w:rsidP="008B44CE">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6522531A" w:rsidR="008B44CE" w:rsidRPr="00945A47" w:rsidRDefault="008B44CE" w:rsidP="008B44CE">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Pr="00EE5A85">
              <w:rPr>
                <w:rFonts w:ascii="Work Sans" w:hAnsi="Work Sans" w:cs="Arial"/>
                <w:noProof/>
              </w:rPr>
              <w:drawing>
                <wp:inline distT="0" distB="0" distL="0" distR="0" wp14:anchorId="70DAFC76" wp14:editId="1C1429EA">
                  <wp:extent cx="1211580" cy="716280"/>
                  <wp:effectExtent l="0" t="0" r="7620" b="7620"/>
                  <wp:docPr id="15084857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716280"/>
                          </a:xfrm>
                          <a:prstGeom prst="rect">
                            <a:avLst/>
                          </a:prstGeom>
                          <a:noFill/>
                          <a:ln>
                            <a:noFill/>
                          </a:ln>
                        </pic:spPr>
                      </pic:pic>
                    </a:graphicData>
                  </a:graphic>
                </wp:inline>
              </w:drawing>
            </w:r>
          </w:p>
        </w:tc>
      </w:tr>
    </w:tbl>
    <w:p w14:paraId="1E54C5E8" w14:textId="77777777" w:rsidR="00582859" w:rsidRDefault="00582859" w:rsidP="00481AF7">
      <w:pPr>
        <w:rPr>
          <w:rFonts w:ascii="Arial" w:hAnsi="Arial" w:cs="Arial"/>
          <w:b/>
          <w:bCs/>
          <w:sz w:val="20"/>
          <w:szCs w:val="20"/>
        </w:rPr>
      </w:pPr>
    </w:p>
    <w:p w14:paraId="6D27F190" w14:textId="77777777" w:rsidR="00582859" w:rsidRDefault="00582859" w:rsidP="00481AF7">
      <w:pPr>
        <w:rPr>
          <w:rFonts w:ascii="Arial" w:hAnsi="Arial" w:cs="Arial"/>
          <w:b/>
          <w:bCs/>
          <w:sz w:val="20"/>
          <w:szCs w:val="20"/>
        </w:rPr>
      </w:pPr>
    </w:p>
    <w:p w14:paraId="1511E365" w14:textId="77777777" w:rsidR="00582859" w:rsidRDefault="00582859" w:rsidP="00481AF7">
      <w:pPr>
        <w:rPr>
          <w:rFonts w:ascii="Arial" w:hAnsi="Arial" w:cs="Arial"/>
          <w:b/>
          <w:bCs/>
          <w:sz w:val="20"/>
          <w:szCs w:val="20"/>
        </w:rPr>
      </w:pPr>
    </w:p>
    <w:p w14:paraId="34F4C102" w14:textId="77777777" w:rsidR="00582859" w:rsidRDefault="00582859" w:rsidP="00481AF7">
      <w:pPr>
        <w:rPr>
          <w:rFonts w:ascii="Arial" w:hAnsi="Arial" w:cs="Arial"/>
          <w:b/>
          <w:bCs/>
          <w:sz w:val="20"/>
          <w:szCs w:val="20"/>
        </w:rPr>
      </w:pPr>
    </w:p>
    <w:p w14:paraId="2450703A" w14:textId="77777777" w:rsidR="00582859" w:rsidRDefault="00582859" w:rsidP="00481AF7">
      <w:pPr>
        <w:rPr>
          <w:rFonts w:ascii="Arial" w:hAnsi="Arial" w:cs="Arial"/>
          <w:b/>
          <w:bCs/>
          <w:sz w:val="20"/>
          <w:szCs w:val="20"/>
        </w:rPr>
      </w:pPr>
    </w:p>
    <w:p w14:paraId="161B1F13" w14:textId="77777777" w:rsidR="00582859" w:rsidRDefault="00582859" w:rsidP="00481AF7">
      <w:pPr>
        <w:rPr>
          <w:rFonts w:ascii="Arial" w:hAnsi="Arial" w:cs="Arial"/>
          <w:b/>
          <w:bCs/>
          <w:sz w:val="20"/>
          <w:szCs w:val="20"/>
        </w:rPr>
      </w:pPr>
    </w:p>
    <w:p w14:paraId="43834DB5" w14:textId="77777777" w:rsidR="00582859" w:rsidRDefault="00582859" w:rsidP="00481AF7">
      <w:pPr>
        <w:rPr>
          <w:rFonts w:ascii="Arial" w:hAnsi="Arial" w:cs="Arial"/>
          <w:b/>
          <w:bCs/>
          <w:sz w:val="20"/>
          <w:szCs w:val="20"/>
        </w:rPr>
      </w:pPr>
    </w:p>
    <w:p w14:paraId="24CB53B8" w14:textId="2983E209" w:rsidR="006F09BC" w:rsidRPr="00034FDA" w:rsidRDefault="00034FDA" w:rsidP="00481AF7">
      <w:pPr>
        <w:rPr>
          <w:rFonts w:ascii="Arial" w:hAnsi="Arial" w:cs="Arial"/>
          <w:b/>
          <w:bCs/>
          <w:sz w:val="20"/>
          <w:szCs w:val="20"/>
        </w:rPr>
      </w:pPr>
      <w:r w:rsidRPr="00034FDA">
        <w:rPr>
          <w:rFonts w:ascii="Arial" w:hAnsi="Arial" w:cs="Arial"/>
          <w:b/>
          <w:bCs/>
          <w:sz w:val="20"/>
          <w:szCs w:val="20"/>
        </w:rPr>
        <w:t>ANEXOS</w:t>
      </w:r>
    </w:p>
    <w:p w14:paraId="2E45DF6A" w14:textId="77777777" w:rsidR="00034FDA" w:rsidRDefault="00034FDA" w:rsidP="00481AF7">
      <w:pPr>
        <w:rPr>
          <w:rFonts w:ascii="Arial" w:hAnsi="Arial" w:cs="Arial"/>
          <w:sz w:val="20"/>
          <w:szCs w:val="20"/>
        </w:rPr>
      </w:pPr>
    </w:p>
    <w:p w14:paraId="4C06D241" w14:textId="2153611F" w:rsidR="00034FDA" w:rsidRDefault="00034FDA" w:rsidP="00481AF7">
      <w:pPr>
        <w:rPr>
          <w:rFonts w:ascii="Arial" w:hAnsi="Arial" w:cs="Arial"/>
          <w:sz w:val="20"/>
          <w:szCs w:val="20"/>
        </w:rPr>
      </w:pPr>
      <w:r>
        <w:rPr>
          <w:rFonts w:ascii="Arial" w:hAnsi="Arial" w:cs="Arial"/>
          <w:sz w:val="20"/>
          <w:szCs w:val="20"/>
        </w:rPr>
        <w:t>ARGO</w:t>
      </w:r>
    </w:p>
    <w:p w14:paraId="37C8524B" w14:textId="77777777" w:rsidR="00034FDA" w:rsidRDefault="00034FDA" w:rsidP="00481AF7">
      <w:pPr>
        <w:rPr>
          <w:rFonts w:ascii="Arial" w:hAnsi="Arial" w:cs="Arial"/>
          <w:sz w:val="20"/>
          <w:szCs w:val="20"/>
        </w:rPr>
      </w:pPr>
    </w:p>
    <w:p w14:paraId="4DF112FC" w14:textId="1E425C5A" w:rsidR="00582859" w:rsidRDefault="00B707DB" w:rsidP="00481AF7">
      <w:pPr>
        <w:rPr>
          <w:rFonts w:ascii="Arial" w:hAnsi="Arial" w:cs="Arial"/>
          <w:sz w:val="20"/>
          <w:szCs w:val="20"/>
        </w:rPr>
      </w:pPr>
      <w:r w:rsidRPr="00B707DB">
        <w:rPr>
          <w:rFonts w:ascii="Arial" w:hAnsi="Arial" w:cs="Arial"/>
          <w:sz w:val="20"/>
          <w:szCs w:val="20"/>
        </w:rPr>
        <w:drawing>
          <wp:inline distT="0" distB="0" distL="0" distR="0" wp14:anchorId="72DDB066" wp14:editId="751C921D">
            <wp:extent cx="6120765" cy="3265170"/>
            <wp:effectExtent l="0" t="0" r="0" b="0"/>
            <wp:docPr id="2110613627"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13627" name="Imagen 1" descr="Interfaz de usuario gráfica, Aplicación&#10;&#10;El contenido generado por IA puede ser incorrecto."/>
                    <pic:cNvPicPr/>
                  </pic:nvPicPr>
                  <pic:blipFill>
                    <a:blip r:embed="rId11"/>
                    <a:stretch>
                      <a:fillRect/>
                    </a:stretch>
                  </pic:blipFill>
                  <pic:spPr>
                    <a:xfrm>
                      <a:off x="0" y="0"/>
                      <a:ext cx="6120765" cy="3265170"/>
                    </a:xfrm>
                    <a:prstGeom prst="rect">
                      <a:avLst/>
                    </a:prstGeom>
                  </pic:spPr>
                </pic:pic>
              </a:graphicData>
            </a:graphic>
          </wp:inline>
        </w:drawing>
      </w:r>
    </w:p>
    <w:p w14:paraId="2BDE2394" w14:textId="77777777" w:rsidR="00582859" w:rsidRDefault="00582859" w:rsidP="00481AF7">
      <w:pPr>
        <w:rPr>
          <w:rFonts w:ascii="Arial" w:hAnsi="Arial" w:cs="Arial"/>
          <w:sz w:val="20"/>
          <w:szCs w:val="20"/>
        </w:rPr>
      </w:pPr>
    </w:p>
    <w:p w14:paraId="1E04B11A" w14:textId="77777777" w:rsidR="00211FDF" w:rsidRDefault="00211FDF" w:rsidP="00481AF7">
      <w:pPr>
        <w:rPr>
          <w:rFonts w:ascii="Arial" w:hAnsi="Arial" w:cs="Arial"/>
          <w:sz w:val="20"/>
          <w:szCs w:val="20"/>
        </w:rPr>
      </w:pPr>
    </w:p>
    <w:p w14:paraId="02B82BA5" w14:textId="77777777" w:rsidR="00211FDF" w:rsidRDefault="00211FDF" w:rsidP="00481AF7">
      <w:pPr>
        <w:rPr>
          <w:rFonts w:ascii="Arial" w:hAnsi="Arial" w:cs="Arial"/>
          <w:sz w:val="20"/>
          <w:szCs w:val="20"/>
        </w:rPr>
      </w:pPr>
    </w:p>
    <w:p w14:paraId="3627EBF1" w14:textId="77777777" w:rsidR="00211FDF" w:rsidRDefault="00211FDF" w:rsidP="00481AF7">
      <w:pPr>
        <w:rPr>
          <w:rFonts w:ascii="Arial" w:hAnsi="Arial" w:cs="Arial"/>
          <w:sz w:val="20"/>
          <w:szCs w:val="20"/>
        </w:rPr>
      </w:pPr>
    </w:p>
    <w:p w14:paraId="12241A7D" w14:textId="77777777" w:rsidR="00211FDF" w:rsidRDefault="00211FDF" w:rsidP="00481AF7">
      <w:pPr>
        <w:rPr>
          <w:rFonts w:ascii="Arial" w:hAnsi="Arial" w:cs="Arial"/>
          <w:sz w:val="20"/>
          <w:szCs w:val="20"/>
        </w:rPr>
      </w:pPr>
    </w:p>
    <w:p w14:paraId="6B94F4D7" w14:textId="77777777" w:rsidR="00211FDF" w:rsidRDefault="00211FDF" w:rsidP="00481AF7">
      <w:pPr>
        <w:rPr>
          <w:rFonts w:ascii="Arial" w:hAnsi="Arial" w:cs="Arial"/>
          <w:sz w:val="20"/>
          <w:szCs w:val="20"/>
        </w:rPr>
      </w:pPr>
    </w:p>
    <w:p w14:paraId="2C6F1A23" w14:textId="77777777" w:rsidR="00211FDF" w:rsidRDefault="00211FDF" w:rsidP="00481AF7">
      <w:pPr>
        <w:rPr>
          <w:rFonts w:ascii="Arial" w:hAnsi="Arial" w:cs="Arial"/>
          <w:sz w:val="20"/>
          <w:szCs w:val="20"/>
        </w:rPr>
      </w:pPr>
    </w:p>
    <w:p w14:paraId="6F19E21C" w14:textId="77777777" w:rsidR="00211FDF" w:rsidRDefault="00211FDF" w:rsidP="00481AF7">
      <w:pPr>
        <w:rPr>
          <w:rFonts w:ascii="Arial" w:hAnsi="Arial" w:cs="Arial"/>
          <w:sz w:val="20"/>
          <w:szCs w:val="20"/>
        </w:rPr>
      </w:pPr>
    </w:p>
    <w:p w14:paraId="711E45A0" w14:textId="77777777" w:rsidR="00211FDF" w:rsidRDefault="00211FDF" w:rsidP="00481AF7">
      <w:pPr>
        <w:rPr>
          <w:rFonts w:ascii="Arial" w:hAnsi="Arial" w:cs="Arial"/>
          <w:sz w:val="20"/>
          <w:szCs w:val="20"/>
        </w:rPr>
      </w:pPr>
    </w:p>
    <w:p w14:paraId="1676A894" w14:textId="77777777" w:rsidR="00211FDF" w:rsidRDefault="00211FDF" w:rsidP="00481AF7">
      <w:pPr>
        <w:rPr>
          <w:rFonts w:ascii="Arial" w:hAnsi="Arial" w:cs="Arial"/>
          <w:sz w:val="20"/>
          <w:szCs w:val="20"/>
        </w:rPr>
      </w:pPr>
    </w:p>
    <w:p w14:paraId="37D7959A" w14:textId="77777777" w:rsidR="00582859" w:rsidRDefault="00582859" w:rsidP="00481AF7">
      <w:pPr>
        <w:rPr>
          <w:rFonts w:ascii="Arial" w:hAnsi="Arial" w:cs="Arial"/>
          <w:sz w:val="20"/>
          <w:szCs w:val="20"/>
        </w:rPr>
      </w:pPr>
    </w:p>
    <w:p w14:paraId="62F632B8" w14:textId="51DC0885" w:rsidR="00034FDA" w:rsidRDefault="00034FDA" w:rsidP="00481AF7">
      <w:pPr>
        <w:rPr>
          <w:rFonts w:ascii="Arial" w:hAnsi="Arial" w:cs="Arial"/>
          <w:sz w:val="20"/>
          <w:szCs w:val="20"/>
        </w:rPr>
      </w:pPr>
      <w:r>
        <w:rPr>
          <w:rFonts w:ascii="Arial" w:hAnsi="Arial" w:cs="Arial"/>
          <w:sz w:val="20"/>
          <w:szCs w:val="20"/>
        </w:rPr>
        <w:t xml:space="preserve">SECOP </w:t>
      </w:r>
    </w:p>
    <w:p w14:paraId="6DA905B3" w14:textId="77777777" w:rsidR="00853B33" w:rsidRDefault="00853B33" w:rsidP="00481AF7">
      <w:pPr>
        <w:rPr>
          <w:rFonts w:ascii="Arial" w:hAnsi="Arial" w:cs="Arial"/>
          <w:sz w:val="20"/>
          <w:szCs w:val="20"/>
        </w:rPr>
      </w:pPr>
    </w:p>
    <w:p w14:paraId="32E05108" w14:textId="31C2CFCE" w:rsidR="007718B4" w:rsidRDefault="00F37EA1" w:rsidP="00481AF7">
      <w:pPr>
        <w:rPr>
          <w:rFonts w:ascii="Arial" w:hAnsi="Arial" w:cs="Arial"/>
          <w:sz w:val="20"/>
          <w:szCs w:val="20"/>
        </w:rPr>
      </w:pPr>
      <w:r w:rsidRPr="00F37EA1">
        <w:rPr>
          <w:rFonts w:ascii="Arial" w:hAnsi="Arial" w:cs="Arial"/>
          <w:sz w:val="20"/>
          <w:szCs w:val="20"/>
        </w:rPr>
        <w:drawing>
          <wp:inline distT="0" distB="0" distL="0" distR="0" wp14:anchorId="19AAE2B0" wp14:editId="2827899B">
            <wp:extent cx="6120765" cy="1939290"/>
            <wp:effectExtent l="0" t="0" r="0" b="3810"/>
            <wp:docPr id="1051172076" name="Imagen 1" descr="Interfaz de usuario gráfica, Aplicación, Sitio web&#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172076" name="Imagen 1" descr="Interfaz de usuario gráfica, Aplicación, Sitio web&#10;&#10;El contenido generado por IA puede ser incorrecto."/>
                    <pic:cNvPicPr/>
                  </pic:nvPicPr>
                  <pic:blipFill>
                    <a:blip r:embed="rId12"/>
                    <a:stretch>
                      <a:fillRect/>
                    </a:stretch>
                  </pic:blipFill>
                  <pic:spPr>
                    <a:xfrm>
                      <a:off x="0" y="0"/>
                      <a:ext cx="6120765" cy="1939290"/>
                    </a:xfrm>
                    <a:prstGeom prst="rect">
                      <a:avLst/>
                    </a:prstGeom>
                  </pic:spPr>
                </pic:pic>
              </a:graphicData>
            </a:graphic>
          </wp:inline>
        </w:drawing>
      </w:r>
    </w:p>
    <w:p w14:paraId="452BB2E1" w14:textId="3B4142FE" w:rsidR="00986FA2" w:rsidRDefault="00986FA2" w:rsidP="00986FA2">
      <w:pPr>
        <w:rPr>
          <w:rFonts w:ascii="Arial" w:hAnsi="Arial" w:cs="Arial"/>
          <w:sz w:val="20"/>
          <w:szCs w:val="20"/>
        </w:rPr>
      </w:pPr>
    </w:p>
    <w:p w14:paraId="6AF05E14" w14:textId="7F4FF2BD" w:rsidR="00FB1E3A" w:rsidRDefault="008501B5" w:rsidP="00986FA2">
      <w:pPr>
        <w:rPr>
          <w:rFonts w:ascii="Arial" w:hAnsi="Arial" w:cs="Arial"/>
          <w:sz w:val="20"/>
          <w:szCs w:val="20"/>
        </w:rPr>
      </w:pPr>
      <w:r w:rsidRPr="008501B5">
        <w:rPr>
          <w:rFonts w:ascii="Arial" w:hAnsi="Arial" w:cs="Arial"/>
          <w:noProof/>
          <w:sz w:val="20"/>
          <w:szCs w:val="20"/>
        </w:rPr>
        <w:drawing>
          <wp:inline distT="0" distB="0" distL="0" distR="0" wp14:anchorId="39203EE3" wp14:editId="182756D1">
            <wp:extent cx="6120765" cy="2112645"/>
            <wp:effectExtent l="0" t="0" r="0" b="1905"/>
            <wp:docPr id="14574253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25390" name=""/>
                    <pic:cNvPicPr/>
                  </pic:nvPicPr>
                  <pic:blipFill>
                    <a:blip r:embed="rId13"/>
                    <a:stretch>
                      <a:fillRect/>
                    </a:stretch>
                  </pic:blipFill>
                  <pic:spPr>
                    <a:xfrm>
                      <a:off x="0" y="0"/>
                      <a:ext cx="6120765" cy="2112645"/>
                    </a:xfrm>
                    <a:prstGeom prst="rect">
                      <a:avLst/>
                    </a:prstGeom>
                  </pic:spPr>
                </pic:pic>
              </a:graphicData>
            </a:graphic>
          </wp:inline>
        </w:drawing>
      </w:r>
    </w:p>
    <w:p w14:paraId="4D32D47A" w14:textId="0463516B" w:rsidR="00853B33" w:rsidRDefault="00853B33" w:rsidP="00481AF7">
      <w:pPr>
        <w:rPr>
          <w:rFonts w:ascii="Arial" w:hAnsi="Arial" w:cs="Arial"/>
          <w:sz w:val="20"/>
          <w:szCs w:val="20"/>
        </w:rPr>
      </w:pPr>
      <w:r>
        <w:rPr>
          <w:rFonts w:ascii="Arial" w:hAnsi="Arial" w:cs="Arial"/>
          <w:sz w:val="20"/>
          <w:szCs w:val="20"/>
        </w:rPr>
        <w:t xml:space="preserve">APROBACIONES </w:t>
      </w:r>
    </w:p>
    <w:p w14:paraId="30DBEA51" w14:textId="5F21C26E" w:rsidR="007B24C7" w:rsidRDefault="007B24C7" w:rsidP="00481AF7">
      <w:pPr>
        <w:rPr>
          <w:rFonts w:ascii="Arial" w:hAnsi="Arial" w:cs="Arial"/>
          <w:sz w:val="20"/>
          <w:szCs w:val="20"/>
        </w:rPr>
      </w:pPr>
    </w:p>
    <w:p w14:paraId="10D92264" w14:textId="03952D0C" w:rsidR="00410E98" w:rsidRDefault="00410E98" w:rsidP="00481AF7">
      <w:pPr>
        <w:rPr>
          <w:rFonts w:ascii="Arial" w:hAnsi="Arial" w:cs="Arial"/>
          <w:sz w:val="20"/>
          <w:szCs w:val="20"/>
        </w:rPr>
      </w:pPr>
      <w:r w:rsidRPr="00410E98">
        <w:rPr>
          <w:rFonts w:ascii="Arial" w:hAnsi="Arial" w:cs="Arial"/>
          <w:noProof/>
          <w:sz w:val="20"/>
          <w:szCs w:val="20"/>
        </w:rPr>
        <w:lastRenderedPageBreak/>
        <w:drawing>
          <wp:inline distT="0" distB="0" distL="0" distR="0" wp14:anchorId="0CEDE2E1" wp14:editId="4B45A9D7">
            <wp:extent cx="6120765" cy="2401570"/>
            <wp:effectExtent l="0" t="0" r="0" b="0"/>
            <wp:docPr id="1310787263"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87263" name="Imagen 1" descr="Interfaz de usuario gráfica, Aplicación&#10;&#10;El contenido generado por IA puede ser incorrecto."/>
                    <pic:cNvPicPr/>
                  </pic:nvPicPr>
                  <pic:blipFill>
                    <a:blip r:embed="rId14"/>
                    <a:stretch>
                      <a:fillRect/>
                    </a:stretch>
                  </pic:blipFill>
                  <pic:spPr>
                    <a:xfrm>
                      <a:off x="0" y="0"/>
                      <a:ext cx="6120765" cy="2401570"/>
                    </a:xfrm>
                    <a:prstGeom prst="rect">
                      <a:avLst/>
                    </a:prstGeom>
                  </pic:spPr>
                </pic:pic>
              </a:graphicData>
            </a:graphic>
          </wp:inline>
        </w:drawing>
      </w:r>
    </w:p>
    <w:p w14:paraId="4B9AFBEB" w14:textId="77777777" w:rsidR="00410E98" w:rsidRDefault="00410E98" w:rsidP="00481AF7">
      <w:pPr>
        <w:rPr>
          <w:rFonts w:ascii="Arial" w:hAnsi="Arial" w:cs="Arial"/>
          <w:sz w:val="20"/>
          <w:szCs w:val="20"/>
        </w:rPr>
      </w:pPr>
    </w:p>
    <w:p w14:paraId="2CF4F36F" w14:textId="77777777" w:rsidR="00410E98" w:rsidRDefault="00410E98" w:rsidP="00481AF7">
      <w:pPr>
        <w:rPr>
          <w:rFonts w:ascii="Arial" w:hAnsi="Arial" w:cs="Arial"/>
          <w:sz w:val="20"/>
          <w:szCs w:val="20"/>
        </w:rPr>
      </w:pPr>
    </w:p>
    <w:p w14:paraId="44F69EEC" w14:textId="77777777" w:rsidR="00410E98" w:rsidRDefault="00410E98" w:rsidP="00481AF7">
      <w:pPr>
        <w:rPr>
          <w:rFonts w:ascii="Arial" w:hAnsi="Arial" w:cs="Arial"/>
          <w:sz w:val="20"/>
          <w:szCs w:val="20"/>
        </w:rPr>
      </w:pPr>
    </w:p>
    <w:p w14:paraId="3EC83A30" w14:textId="77777777" w:rsidR="00410E98" w:rsidRDefault="00410E98" w:rsidP="00481AF7">
      <w:pPr>
        <w:rPr>
          <w:rFonts w:ascii="Arial" w:hAnsi="Arial" w:cs="Arial"/>
          <w:sz w:val="20"/>
          <w:szCs w:val="20"/>
        </w:rPr>
      </w:pPr>
    </w:p>
    <w:p w14:paraId="5DA8ED36" w14:textId="094F48D2" w:rsidR="00410E98" w:rsidRPr="00410E98" w:rsidRDefault="00410E98" w:rsidP="00410E98">
      <w:pPr>
        <w:rPr>
          <w:rFonts w:ascii="Arial" w:hAnsi="Arial" w:cs="Arial"/>
          <w:sz w:val="20"/>
          <w:szCs w:val="20"/>
        </w:rPr>
      </w:pPr>
      <w:r w:rsidRPr="00410E98">
        <w:rPr>
          <w:rFonts w:ascii="Arial" w:hAnsi="Arial" w:cs="Arial"/>
          <w:noProof/>
          <w:sz w:val="20"/>
          <w:szCs w:val="20"/>
        </w:rPr>
        <w:drawing>
          <wp:inline distT="0" distB="0" distL="0" distR="0" wp14:anchorId="20F121C3" wp14:editId="0AF7AD34">
            <wp:extent cx="6120765" cy="1630680"/>
            <wp:effectExtent l="0" t="0" r="0" b="7620"/>
            <wp:docPr id="697710874" name="Imagen 2"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710874" name="Imagen 2" descr="Interfaz de usuario gráfica, Texto, Aplicación&#10;&#10;El contenido generado por IA puede ser incorrect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30680"/>
                    </a:xfrm>
                    <a:prstGeom prst="rect">
                      <a:avLst/>
                    </a:prstGeom>
                    <a:noFill/>
                    <a:ln>
                      <a:noFill/>
                    </a:ln>
                  </pic:spPr>
                </pic:pic>
              </a:graphicData>
            </a:graphic>
          </wp:inline>
        </w:drawing>
      </w:r>
    </w:p>
    <w:p w14:paraId="4BCA43D7" w14:textId="77777777" w:rsidR="00410E98" w:rsidRDefault="00410E98" w:rsidP="00481AF7">
      <w:pPr>
        <w:rPr>
          <w:rFonts w:ascii="Arial" w:hAnsi="Arial" w:cs="Arial"/>
          <w:sz w:val="20"/>
          <w:szCs w:val="20"/>
        </w:rPr>
      </w:pPr>
    </w:p>
    <w:p w14:paraId="6DE07184" w14:textId="77777777" w:rsidR="004C0F6B" w:rsidRDefault="004C0F6B" w:rsidP="00481AF7">
      <w:pPr>
        <w:rPr>
          <w:rFonts w:ascii="Arial" w:hAnsi="Arial" w:cs="Arial"/>
          <w:sz w:val="20"/>
          <w:szCs w:val="20"/>
        </w:rPr>
      </w:pPr>
    </w:p>
    <w:p w14:paraId="1726C130" w14:textId="77777777" w:rsidR="004C0F6B" w:rsidRDefault="004C0F6B" w:rsidP="00481AF7">
      <w:pPr>
        <w:rPr>
          <w:rFonts w:ascii="Arial" w:hAnsi="Arial" w:cs="Arial"/>
          <w:sz w:val="20"/>
          <w:szCs w:val="20"/>
        </w:rPr>
      </w:pPr>
    </w:p>
    <w:p w14:paraId="2D436A28" w14:textId="331E3E48" w:rsidR="004C0F6B" w:rsidRDefault="004C0F6B" w:rsidP="00481AF7">
      <w:pPr>
        <w:rPr>
          <w:rFonts w:ascii="Arial" w:hAnsi="Arial" w:cs="Arial"/>
          <w:sz w:val="20"/>
          <w:szCs w:val="20"/>
        </w:rPr>
      </w:pPr>
    </w:p>
    <w:p w14:paraId="7FD2907D" w14:textId="77777777" w:rsidR="00D60F8B" w:rsidRDefault="00D60F8B" w:rsidP="00481AF7">
      <w:pPr>
        <w:rPr>
          <w:rFonts w:ascii="Arial" w:hAnsi="Arial" w:cs="Arial"/>
          <w:sz w:val="20"/>
          <w:szCs w:val="20"/>
        </w:rPr>
      </w:pPr>
    </w:p>
    <w:p w14:paraId="6BA03CC0" w14:textId="77777777" w:rsidR="00D60F8B" w:rsidRDefault="00D60F8B" w:rsidP="00481AF7">
      <w:pPr>
        <w:rPr>
          <w:rFonts w:ascii="Arial" w:hAnsi="Arial" w:cs="Arial"/>
          <w:sz w:val="20"/>
          <w:szCs w:val="20"/>
        </w:rPr>
      </w:pPr>
    </w:p>
    <w:p w14:paraId="38FCE5E9" w14:textId="2A481B9C" w:rsidR="00D60F8B" w:rsidRDefault="00D60F8B" w:rsidP="00481AF7">
      <w:pPr>
        <w:rPr>
          <w:rFonts w:ascii="Arial" w:hAnsi="Arial" w:cs="Arial"/>
          <w:sz w:val="20"/>
          <w:szCs w:val="20"/>
        </w:rPr>
      </w:pPr>
    </w:p>
    <w:p w14:paraId="206AB4C0" w14:textId="2D2CE7DA" w:rsidR="004C0F6B" w:rsidRDefault="004C0F6B" w:rsidP="00481AF7">
      <w:pPr>
        <w:rPr>
          <w:rFonts w:ascii="Arial" w:hAnsi="Arial" w:cs="Arial"/>
          <w:sz w:val="20"/>
          <w:szCs w:val="20"/>
        </w:rPr>
      </w:pPr>
    </w:p>
    <w:p w14:paraId="780B9B07" w14:textId="2CB59B2D" w:rsidR="007B24C7" w:rsidRDefault="007B24C7" w:rsidP="00481AF7">
      <w:pPr>
        <w:rPr>
          <w:rFonts w:ascii="Arial" w:hAnsi="Arial" w:cs="Arial"/>
          <w:sz w:val="20"/>
          <w:szCs w:val="20"/>
        </w:rPr>
      </w:pPr>
    </w:p>
    <w:p w14:paraId="1603B3B1" w14:textId="77777777" w:rsidR="007B24C7" w:rsidRDefault="007B24C7" w:rsidP="00481AF7">
      <w:pPr>
        <w:rPr>
          <w:rFonts w:ascii="Arial" w:hAnsi="Arial" w:cs="Arial"/>
          <w:sz w:val="20"/>
          <w:szCs w:val="20"/>
        </w:rPr>
      </w:pPr>
    </w:p>
    <w:p w14:paraId="5CC0BA86" w14:textId="77777777" w:rsidR="007B24C7" w:rsidRDefault="007B24C7" w:rsidP="00481AF7">
      <w:pPr>
        <w:rPr>
          <w:rFonts w:ascii="Arial" w:hAnsi="Arial" w:cs="Arial"/>
          <w:sz w:val="20"/>
          <w:szCs w:val="20"/>
        </w:rPr>
      </w:pPr>
    </w:p>
    <w:p w14:paraId="3CE6D64A" w14:textId="77777777" w:rsidR="007B24C7" w:rsidRDefault="007B24C7" w:rsidP="00481AF7">
      <w:pPr>
        <w:rPr>
          <w:rFonts w:ascii="Arial" w:hAnsi="Arial" w:cs="Arial"/>
          <w:sz w:val="20"/>
          <w:szCs w:val="20"/>
        </w:rPr>
      </w:pPr>
    </w:p>
    <w:p w14:paraId="67522567" w14:textId="77777777" w:rsidR="007B24C7" w:rsidRDefault="007B24C7" w:rsidP="00481AF7">
      <w:pPr>
        <w:rPr>
          <w:rFonts w:ascii="Arial" w:hAnsi="Arial" w:cs="Arial"/>
          <w:sz w:val="20"/>
          <w:szCs w:val="20"/>
        </w:rPr>
      </w:pPr>
    </w:p>
    <w:p w14:paraId="0B5315FE" w14:textId="77777777" w:rsidR="007B24C7" w:rsidRDefault="007B24C7" w:rsidP="00481AF7">
      <w:pPr>
        <w:rPr>
          <w:rFonts w:ascii="Arial" w:hAnsi="Arial" w:cs="Arial"/>
          <w:sz w:val="20"/>
          <w:szCs w:val="20"/>
        </w:rPr>
      </w:pPr>
    </w:p>
    <w:p w14:paraId="69C7BCC0" w14:textId="77777777" w:rsidR="007B24C7" w:rsidRDefault="007B24C7" w:rsidP="00481AF7">
      <w:pPr>
        <w:rPr>
          <w:rFonts w:ascii="Arial" w:hAnsi="Arial" w:cs="Arial"/>
          <w:sz w:val="20"/>
          <w:szCs w:val="20"/>
        </w:rPr>
      </w:pPr>
    </w:p>
    <w:p w14:paraId="70AE382D" w14:textId="77777777" w:rsidR="007B24C7" w:rsidRDefault="007B24C7" w:rsidP="00481AF7">
      <w:pPr>
        <w:rPr>
          <w:rFonts w:ascii="Arial" w:hAnsi="Arial" w:cs="Arial"/>
          <w:sz w:val="20"/>
          <w:szCs w:val="20"/>
        </w:rPr>
      </w:pPr>
    </w:p>
    <w:p w14:paraId="3F42355E" w14:textId="77777777" w:rsidR="007B24C7" w:rsidRDefault="007B24C7" w:rsidP="00481AF7">
      <w:pPr>
        <w:rPr>
          <w:rFonts w:ascii="Arial" w:hAnsi="Arial" w:cs="Arial"/>
          <w:sz w:val="20"/>
          <w:szCs w:val="20"/>
        </w:rPr>
      </w:pPr>
    </w:p>
    <w:p w14:paraId="098C975B" w14:textId="77777777" w:rsidR="007B24C7" w:rsidRDefault="007B24C7" w:rsidP="00481AF7">
      <w:pPr>
        <w:rPr>
          <w:rFonts w:ascii="Arial" w:hAnsi="Arial" w:cs="Arial"/>
          <w:sz w:val="20"/>
          <w:szCs w:val="20"/>
        </w:rPr>
      </w:pPr>
    </w:p>
    <w:p w14:paraId="4EF85617" w14:textId="77777777" w:rsidR="007B24C7" w:rsidRDefault="007B24C7" w:rsidP="00481AF7">
      <w:pPr>
        <w:rPr>
          <w:rFonts w:ascii="Arial" w:hAnsi="Arial" w:cs="Arial"/>
          <w:sz w:val="20"/>
          <w:szCs w:val="20"/>
        </w:rPr>
      </w:pPr>
    </w:p>
    <w:p w14:paraId="5DB0329C" w14:textId="77777777" w:rsidR="007B24C7" w:rsidRDefault="007B24C7" w:rsidP="00481AF7">
      <w:pPr>
        <w:rPr>
          <w:rFonts w:ascii="Arial" w:hAnsi="Arial" w:cs="Arial"/>
          <w:sz w:val="20"/>
          <w:szCs w:val="20"/>
        </w:rPr>
      </w:pPr>
    </w:p>
    <w:p w14:paraId="4DCA1D5C" w14:textId="601BFC94" w:rsidR="007B24C7" w:rsidRDefault="007B24C7" w:rsidP="00481AF7">
      <w:pPr>
        <w:rPr>
          <w:rFonts w:ascii="Arial" w:hAnsi="Arial" w:cs="Arial"/>
          <w:sz w:val="20"/>
          <w:szCs w:val="20"/>
        </w:rPr>
      </w:pPr>
    </w:p>
    <w:p w14:paraId="6D0EC36E" w14:textId="77777777" w:rsidR="00853B33" w:rsidRDefault="00853B33" w:rsidP="00481AF7">
      <w:pPr>
        <w:rPr>
          <w:rFonts w:ascii="Arial" w:hAnsi="Arial" w:cs="Arial"/>
          <w:sz w:val="20"/>
          <w:szCs w:val="20"/>
        </w:rPr>
      </w:pPr>
    </w:p>
    <w:p w14:paraId="70993AA8" w14:textId="0C5F19B4" w:rsidR="00A73EF8" w:rsidRDefault="00A73EF8" w:rsidP="00481AF7">
      <w:pPr>
        <w:rPr>
          <w:rFonts w:ascii="Arial" w:hAnsi="Arial" w:cs="Arial"/>
          <w:sz w:val="20"/>
          <w:szCs w:val="20"/>
        </w:rPr>
      </w:pPr>
    </w:p>
    <w:p w14:paraId="3E5EF05B" w14:textId="51B3D533" w:rsidR="00A73EF8" w:rsidRDefault="00A73EF8" w:rsidP="00481AF7">
      <w:pPr>
        <w:rPr>
          <w:rFonts w:ascii="Arial" w:hAnsi="Arial" w:cs="Arial"/>
          <w:sz w:val="20"/>
          <w:szCs w:val="20"/>
        </w:rPr>
      </w:pPr>
    </w:p>
    <w:p w14:paraId="5B23B3C3" w14:textId="77777777" w:rsidR="00A73EF8" w:rsidRDefault="00A73EF8" w:rsidP="00481AF7">
      <w:pPr>
        <w:rPr>
          <w:rFonts w:ascii="Arial" w:hAnsi="Arial" w:cs="Arial"/>
          <w:sz w:val="20"/>
          <w:szCs w:val="20"/>
        </w:rPr>
      </w:pPr>
    </w:p>
    <w:p w14:paraId="2EFC5D60" w14:textId="77777777" w:rsidR="00A73EF8" w:rsidRDefault="00A73EF8" w:rsidP="00481AF7">
      <w:pPr>
        <w:rPr>
          <w:rFonts w:ascii="Arial" w:hAnsi="Arial" w:cs="Arial"/>
          <w:sz w:val="20"/>
          <w:szCs w:val="20"/>
        </w:rPr>
      </w:pPr>
    </w:p>
    <w:p w14:paraId="161F3687" w14:textId="3769BDF9" w:rsidR="00A73EF8" w:rsidRDefault="00A73EF8" w:rsidP="00481AF7">
      <w:pPr>
        <w:rPr>
          <w:rFonts w:ascii="Arial" w:hAnsi="Arial" w:cs="Arial"/>
          <w:sz w:val="20"/>
          <w:szCs w:val="20"/>
        </w:rPr>
      </w:pPr>
    </w:p>
    <w:p w14:paraId="4574B755" w14:textId="77777777" w:rsidR="00284998" w:rsidRDefault="00284998" w:rsidP="00481AF7">
      <w:pPr>
        <w:rPr>
          <w:rFonts w:ascii="Arial" w:hAnsi="Arial" w:cs="Arial"/>
          <w:sz w:val="20"/>
          <w:szCs w:val="20"/>
        </w:rPr>
      </w:pPr>
    </w:p>
    <w:p w14:paraId="7BE3F81C" w14:textId="77777777" w:rsidR="00284998" w:rsidRDefault="00284998" w:rsidP="00481AF7">
      <w:pPr>
        <w:rPr>
          <w:rFonts w:ascii="Arial" w:hAnsi="Arial" w:cs="Arial"/>
          <w:sz w:val="20"/>
          <w:szCs w:val="20"/>
        </w:rPr>
      </w:pPr>
    </w:p>
    <w:p w14:paraId="16CB5A01" w14:textId="77777777" w:rsidR="00284998" w:rsidRDefault="00284998" w:rsidP="00481AF7">
      <w:pPr>
        <w:rPr>
          <w:rFonts w:ascii="Arial" w:hAnsi="Arial" w:cs="Arial"/>
          <w:sz w:val="20"/>
          <w:szCs w:val="20"/>
        </w:rPr>
      </w:pPr>
    </w:p>
    <w:p w14:paraId="0811DBC7" w14:textId="77777777" w:rsidR="00284998" w:rsidRDefault="00284998" w:rsidP="00481AF7">
      <w:pPr>
        <w:rPr>
          <w:rFonts w:ascii="Arial" w:hAnsi="Arial" w:cs="Arial"/>
          <w:sz w:val="20"/>
          <w:szCs w:val="20"/>
        </w:rPr>
      </w:pPr>
    </w:p>
    <w:p w14:paraId="30C9F55D" w14:textId="77777777" w:rsidR="00284998" w:rsidRDefault="00284998" w:rsidP="00481AF7">
      <w:pPr>
        <w:rPr>
          <w:rFonts w:ascii="Arial" w:hAnsi="Arial" w:cs="Arial"/>
          <w:sz w:val="20"/>
          <w:szCs w:val="20"/>
        </w:rPr>
      </w:pPr>
    </w:p>
    <w:p w14:paraId="1F5C427E" w14:textId="77777777" w:rsidR="00284998" w:rsidRDefault="00284998" w:rsidP="00481AF7">
      <w:pPr>
        <w:rPr>
          <w:rFonts w:ascii="Arial" w:hAnsi="Arial" w:cs="Arial"/>
          <w:sz w:val="20"/>
          <w:szCs w:val="20"/>
        </w:rPr>
      </w:pPr>
    </w:p>
    <w:p w14:paraId="18CE78BD" w14:textId="77777777" w:rsidR="00284998" w:rsidRDefault="00284998" w:rsidP="00481AF7">
      <w:pPr>
        <w:rPr>
          <w:rFonts w:ascii="Arial" w:hAnsi="Arial" w:cs="Arial"/>
          <w:sz w:val="20"/>
          <w:szCs w:val="20"/>
        </w:rPr>
      </w:pPr>
    </w:p>
    <w:p w14:paraId="0097D4C0" w14:textId="5562C067" w:rsidR="00A73EF8" w:rsidRDefault="00A73EF8" w:rsidP="00481AF7">
      <w:pPr>
        <w:rPr>
          <w:rFonts w:ascii="Arial" w:hAnsi="Arial" w:cs="Arial"/>
          <w:sz w:val="20"/>
          <w:szCs w:val="20"/>
        </w:rPr>
      </w:pPr>
    </w:p>
    <w:p w14:paraId="34749F13" w14:textId="77777777" w:rsidR="00284998" w:rsidRDefault="00284998" w:rsidP="00481AF7">
      <w:pPr>
        <w:rPr>
          <w:rFonts w:ascii="Arial" w:hAnsi="Arial" w:cs="Arial"/>
          <w:sz w:val="20"/>
          <w:szCs w:val="20"/>
        </w:rPr>
      </w:pPr>
    </w:p>
    <w:p w14:paraId="2AF57176" w14:textId="77777777" w:rsidR="00284998" w:rsidRDefault="00284998" w:rsidP="00481AF7">
      <w:pPr>
        <w:rPr>
          <w:rFonts w:ascii="Arial" w:hAnsi="Arial" w:cs="Arial"/>
          <w:sz w:val="20"/>
          <w:szCs w:val="20"/>
        </w:rPr>
      </w:pPr>
    </w:p>
    <w:p w14:paraId="37E33CD8" w14:textId="77777777" w:rsidR="00284998" w:rsidRDefault="00284998" w:rsidP="00481AF7">
      <w:pPr>
        <w:rPr>
          <w:rFonts w:ascii="Arial" w:hAnsi="Arial" w:cs="Arial"/>
          <w:sz w:val="20"/>
          <w:szCs w:val="20"/>
        </w:rPr>
      </w:pPr>
    </w:p>
    <w:p w14:paraId="1AD3CDA1" w14:textId="7B06F7F1" w:rsidR="00284998" w:rsidRPr="004C232E" w:rsidRDefault="00284998" w:rsidP="00481AF7">
      <w:pPr>
        <w:rPr>
          <w:rFonts w:ascii="Arial" w:hAnsi="Arial" w:cs="Arial"/>
          <w:sz w:val="20"/>
          <w:szCs w:val="20"/>
        </w:rPr>
      </w:pPr>
    </w:p>
    <w:sectPr w:rsidR="00284998" w:rsidRPr="004C232E" w:rsidSect="00481AF7">
      <w:headerReference w:type="even" r:id="rId16"/>
      <w:headerReference w:type="default" r:id="rId17"/>
      <w:footerReference w:type="even" r:id="rId18"/>
      <w:footerReference w:type="default" r:id="rId19"/>
      <w:headerReference w:type="first" r:id="rId20"/>
      <w:footerReference w:type="first" r:id="rId21"/>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5A2D6" w14:textId="77777777" w:rsidR="00D94B45" w:rsidRDefault="00D94B45" w:rsidP="00426E52">
      <w:r>
        <w:separator/>
      </w:r>
    </w:p>
  </w:endnote>
  <w:endnote w:type="continuationSeparator" w:id="0">
    <w:p w14:paraId="44247CF0" w14:textId="77777777" w:rsidR="00D94B45" w:rsidRDefault="00D94B45"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2509" w14:textId="77777777" w:rsidR="00D94B45" w:rsidRDefault="00D94B45" w:rsidP="00426E52">
      <w:r>
        <w:separator/>
      </w:r>
    </w:p>
  </w:footnote>
  <w:footnote w:type="continuationSeparator" w:id="0">
    <w:p w14:paraId="701EE060" w14:textId="77777777" w:rsidR="00D94B45" w:rsidRDefault="00D94B45"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A10"/>
    <w:multiLevelType w:val="multilevel"/>
    <w:tmpl w:val="7E3C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2" w15:restartNumberingAfterBreak="0">
    <w:nsid w:val="18F40EBA"/>
    <w:multiLevelType w:val="multilevel"/>
    <w:tmpl w:val="71EA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652CF"/>
    <w:multiLevelType w:val="hybridMultilevel"/>
    <w:tmpl w:val="6312299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F562F55"/>
    <w:multiLevelType w:val="multilevel"/>
    <w:tmpl w:val="3A26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92865"/>
    <w:multiLevelType w:val="hybridMultilevel"/>
    <w:tmpl w:val="DB3E805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B3026E"/>
    <w:multiLevelType w:val="hybridMultilevel"/>
    <w:tmpl w:val="DA021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E812CB0"/>
    <w:multiLevelType w:val="multilevel"/>
    <w:tmpl w:val="102A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84371E"/>
    <w:multiLevelType w:val="hybridMultilevel"/>
    <w:tmpl w:val="939AF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578426E"/>
    <w:multiLevelType w:val="hybridMultilevel"/>
    <w:tmpl w:val="5566B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A81C04"/>
    <w:multiLevelType w:val="hybridMultilevel"/>
    <w:tmpl w:val="E47E7AE4"/>
    <w:lvl w:ilvl="0" w:tplc="EC18D41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7C699C"/>
    <w:multiLevelType w:val="hybridMultilevel"/>
    <w:tmpl w:val="CCD23D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A6D1AB4"/>
    <w:multiLevelType w:val="hybridMultilevel"/>
    <w:tmpl w:val="2DB848A6"/>
    <w:lvl w:ilvl="0" w:tplc="8A464994">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BE21916"/>
    <w:multiLevelType w:val="hybridMultilevel"/>
    <w:tmpl w:val="4BCC22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6145310">
    <w:abstractNumId w:val="1"/>
  </w:num>
  <w:num w:numId="2" w16cid:durableId="179972042">
    <w:abstractNumId w:val="5"/>
  </w:num>
  <w:num w:numId="3" w16cid:durableId="1080442898">
    <w:abstractNumId w:val="9"/>
  </w:num>
  <w:num w:numId="4" w16cid:durableId="1591502440">
    <w:abstractNumId w:val="7"/>
  </w:num>
  <w:num w:numId="5" w16cid:durableId="266545595">
    <w:abstractNumId w:val="6"/>
  </w:num>
  <w:num w:numId="6" w16cid:durableId="1080786076">
    <w:abstractNumId w:val="8"/>
  </w:num>
  <w:num w:numId="7" w16cid:durableId="939409966">
    <w:abstractNumId w:val="3"/>
  </w:num>
  <w:num w:numId="8" w16cid:durableId="1078941445">
    <w:abstractNumId w:val="13"/>
  </w:num>
  <w:num w:numId="9" w16cid:durableId="1200049433">
    <w:abstractNumId w:val="10"/>
  </w:num>
  <w:num w:numId="10" w16cid:durableId="1610236003">
    <w:abstractNumId w:val="11"/>
  </w:num>
  <w:num w:numId="11" w16cid:durableId="1877039918">
    <w:abstractNumId w:val="12"/>
  </w:num>
  <w:num w:numId="12" w16cid:durableId="463356451">
    <w:abstractNumId w:val="4"/>
  </w:num>
  <w:num w:numId="13" w16cid:durableId="1351108526">
    <w:abstractNumId w:val="0"/>
  </w:num>
  <w:num w:numId="14" w16cid:durableId="149383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4D5F"/>
    <w:rsid w:val="00026B86"/>
    <w:rsid w:val="00027B47"/>
    <w:rsid w:val="00031194"/>
    <w:rsid w:val="00033CB5"/>
    <w:rsid w:val="00034FDA"/>
    <w:rsid w:val="0003699D"/>
    <w:rsid w:val="000662A8"/>
    <w:rsid w:val="000809A7"/>
    <w:rsid w:val="000870DD"/>
    <w:rsid w:val="000A4983"/>
    <w:rsid w:val="000A71AF"/>
    <w:rsid w:val="000A74D8"/>
    <w:rsid w:val="000B2B0A"/>
    <w:rsid w:val="000B6D55"/>
    <w:rsid w:val="000B77E8"/>
    <w:rsid w:val="000D00F3"/>
    <w:rsid w:val="001108A8"/>
    <w:rsid w:val="00141330"/>
    <w:rsid w:val="001458FE"/>
    <w:rsid w:val="00147C73"/>
    <w:rsid w:val="001515AB"/>
    <w:rsid w:val="00154EC3"/>
    <w:rsid w:val="00160647"/>
    <w:rsid w:val="00186860"/>
    <w:rsid w:val="00192ABD"/>
    <w:rsid w:val="001F18C9"/>
    <w:rsid w:val="002029B8"/>
    <w:rsid w:val="00211FDF"/>
    <w:rsid w:val="002175AE"/>
    <w:rsid w:val="0022388D"/>
    <w:rsid w:val="002272F3"/>
    <w:rsid w:val="00241D12"/>
    <w:rsid w:val="00274896"/>
    <w:rsid w:val="00284998"/>
    <w:rsid w:val="002944DB"/>
    <w:rsid w:val="002B3453"/>
    <w:rsid w:val="002B3E99"/>
    <w:rsid w:val="002C47BE"/>
    <w:rsid w:val="002D4DD1"/>
    <w:rsid w:val="002E2CCD"/>
    <w:rsid w:val="003104DC"/>
    <w:rsid w:val="00316FCC"/>
    <w:rsid w:val="00323561"/>
    <w:rsid w:val="00372C5F"/>
    <w:rsid w:val="00381CF4"/>
    <w:rsid w:val="003824A6"/>
    <w:rsid w:val="003931A2"/>
    <w:rsid w:val="003D3DA7"/>
    <w:rsid w:val="003E7D85"/>
    <w:rsid w:val="00410E98"/>
    <w:rsid w:val="00416A1A"/>
    <w:rsid w:val="00417A47"/>
    <w:rsid w:val="00426E52"/>
    <w:rsid w:val="00446762"/>
    <w:rsid w:val="00464A7C"/>
    <w:rsid w:val="00481AF7"/>
    <w:rsid w:val="004A254E"/>
    <w:rsid w:val="004C0F6B"/>
    <w:rsid w:val="004C232E"/>
    <w:rsid w:val="004D12F5"/>
    <w:rsid w:val="004D232E"/>
    <w:rsid w:val="004E1755"/>
    <w:rsid w:val="00511313"/>
    <w:rsid w:val="00527326"/>
    <w:rsid w:val="005329EC"/>
    <w:rsid w:val="00553E63"/>
    <w:rsid w:val="005650C9"/>
    <w:rsid w:val="00572D13"/>
    <w:rsid w:val="00580B5D"/>
    <w:rsid w:val="00580EC3"/>
    <w:rsid w:val="00582859"/>
    <w:rsid w:val="00597376"/>
    <w:rsid w:val="005A2A91"/>
    <w:rsid w:val="005B50CE"/>
    <w:rsid w:val="005E5FDA"/>
    <w:rsid w:val="00605BA2"/>
    <w:rsid w:val="00605BE1"/>
    <w:rsid w:val="00631222"/>
    <w:rsid w:val="006805F6"/>
    <w:rsid w:val="00691F8C"/>
    <w:rsid w:val="006938B8"/>
    <w:rsid w:val="00695BC2"/>
    <w:rsid w:val="006A32F6"/>
    <w:rsid w:val="006A7CF7"/>
    <w:rsid w:val="006B3C20"/>
    <w:rsid w:val="006B79C7"/>
    <w:rsid w:val="006C6430"/>
    <w:rsid w:val="006F09BC"/>
    <w:rsid w:val="006F60EB"/>
    <w:rsid w:val="00701FD7"/>
    <w:rsid w:val="00704FEA"/>
    <w:rsid w:val="00711447"/>
    <w:rsid w:val="00722B0A"/>
    <w:rsid w:val="00745D8C"/>
    <w:rsid w:val="007501F6"/>
    <w:rsid w:val="00753048"/>
    <w:rsid w:val="00762C80"/>
    <w:rsid w:val="00764791"/>
    <w:rsid w:val="00767EDE"/>
    <w:rsid w:val="007718B4"/>
    <w:rsid w:val="007823CE"/>
    <w:rsid w:val="00782F10"/>
    <w:rsid w:val="00784EE1"/>
    <w:rsid w:val="007A0FDC"/>
    <w:rsid w:val="007B24C7"/>
    <w:rsid w:val="007B5C74"/>
    <w:rsid w:val="007C7298"/>
    <w:rsid w:val="007D4AA2"/>
    <w:rsid w:val="0081175B"/>
    <w:rsid w:val="00823C13"/>
    <w:rsid w:val="00840AAA"/>
    <w:rsid w:val="00846A99"/>
    <w:rsid w:val="008501B5"/>
    <w:rsid w:val="00850E91"/>
    <w:rsid w:val="00851DED"/>
    <w:rsid w:val="00853B33"/>
    <w:rsid w:val="008546E8"/>
    <w:rsid w:val="0085568C"/>
    <w:rsid w:val="0087274B"/>
    <w:rsid w:val="00882987"/>
    <w:rsid w:val="008A6428"/>
    <w:rsid w:val="008B221B"/>
    <w:rsid w:val="008B44CE"/>
    <w:rsid w:val="008B7340"/>
    <w:rsid w:val="008E250D"/>
    <w:rsid w:val="0090356D"/>
    <w:rsid w:val="00903FA8"/>
    <w:rsid w:val="009058E8"/>
    <w:rsid w:val="00916A63"/>
    <w:rsid w:val="009173E4"/>
    <w:rsid w:val="00924FFD"/>
    <w:rsid w:val="00925E25"/>
    <w:rsid w:val="0093219E"/>
    <w:rsid w:val="0093768E"/>
    <w:rsid w:val="00944996"/>
    <w:rsid w:val="00945A47"/>
    <w:rsid w:val="009474C7"/>
    <w:rsid w:val="00986BB6"/>
    <w:rsid w:val="00986FA2"/>
    <w:rsid w:val="009A25D4"/>
    <w:rsid w:val="009B5FA6"/>
    <w:rsid w:val="009C3473"/>
    <w:rsid w:val="009D5CEB"/>
    <w:rsid w:val="009E2F15"/>
    <w:rsid w:val="00A01A09"/>
    <w:rsid w:val="00A1376C"/>
    <w:rsid w:val="00A17524"/>
    <w:rsid w:val="00A17D4B"/>
    <w:rsid w:val="00A20944"/>
    <w:rsid w:val="00A3317D"/>
    <w:rsid w:val="00A466C5"/>
    <w:rsid w:val="00A47BAB"/>
    <w:rsid w:val="00A73EF8"/>
    <w:rsid w:val="00A81881"/>
    <w:rsid w:val="00A87C2F"/>
    <w:rsid w:val="00A92142"/>
    <w:rsid w:val="00AA757C"/>
    <w:rsid w:val="00AB2452"/>
    <w:rsid w:val="00AC1B7A"/>
    <w:rsid w:val="00AC45D3"/>
    <w:rsid w:val="00AD409A"/>
    <w:rsid w:val="00AD6B9A"/>
    <w:rsid w:val="00B06C96"/>
    <w:rsid w:val="00B15CC7"/>
    <w:rsid w:val="00B30D1D"/>
    <w:rsid w:val="00B707DB"/>
    <w:rsid w:val="00B973B9"/>
    <w:rsid w:val="00BA610F"/>
    <w:rsid w:val="00BE00BA"/>
    <w:rsid w:val="00BE5D8C"/>
    <w:rsid w:val="00BF72F8"/>
    <w:rsid w:val="00C0483F"/>
    <w:rsid w:val="00C0634E"/>
    <w:rsid w:val="00C152BB"/>
    <w:rsid w:val="00C22048"/>
    <w:rsid w:val="00C44F76"/>
    <w:rsid w:val="00C5500A"/>
    <w:rsid w:val="00C72BA9"/>
    <w:rsid w:val="00C815ED"/>
    <w:rsid w:val="00C85694"/>
    <w:rsid w:val="00C9609A"/>
    <w:rsid w:val="00CA064F"/>
    <w:rsid w:val="00CA7EC9"/>
    <w:rsid w:val="00CB62B6"/>
    <w:rsid w:val="00CB6A88"/>
    <w:rsid w:val="00CC538E"/>
    <w:rsid w:val="00CC7673"/>
    <w:rsid w:val="00CD3252"/>
    <w:rsid w:val="00CD32A8"/>
    <w:rsid w:val="00D03288"/>
    <w:rsid w:val="00D0599E"/>
    <w:rsid w:val="00D06CF5"/>
    <w:rsid w:val="00D20E59"/>
    <w:rsid w:val="00D23D4E"/>
    <w:rsid w:val="00D326A1"/>
    <w:rsid w:val="00D41934"/>
    <w:rsid w:val="00D60AFE"/>
    <w:rsid w:val="00D60F8B"/>
    <w:rsid w:val="00D94B45"/>
    <w:rsid w:val="00DA4BD8"/>
    <w:rsid w:val="00DB01A1"/>
    <w:rsid w:val="00DB1A21"/>
    <w:rsid w:val="00DB28E5"/>
    <w:rsid w:val="00DB5F58"/>
    <w:rsid w:val="00DB6D32"/>
    <w:rsid w:val="00DC3189"/>
    <w:rsid w:val="00DD38EA"/>
    <w:rsid w:val="00DE7CB2"/>
    <w:rsid w:val="00DF3295"/>
    <w:rsid w:val="00E057AF"/>
    <w:rsid w:val="00E066FC"/>
    <w:rsid w:val="00E16AD4"/>
    <w:rsid w:val="00E227B0"/>
    <w:rsid w:val="00E35168"/>
    <w:rsid w:val="00E40724"/>
    <w:rsid w:val="00E43A87"/>
    <w:rsid w:val="00E74581"/>
    <w:rsid w:val="00E829D3"/>
    <w:rsid w:val="00E845CA"/>
    <w:rsid w:val="00E90FB8"/>
    <w:rsid w:val="00E92496"/>
    <w:rsid w:val="00EC6EB5"/>
    <w:rsid w:val="00ED1D3E"/>
    <w:rsid w:val="00ED4E20"/>
    <w:rsid w:val="00EF145E"/>
    <w:rsid w:val="00EF4B52"/>
    <w:rsid w:val="00F002E4"/>
    <w:rsid w:val="00F302DF"/>
    <w:rsid w:val="00F37EA1"/>
    <w:rsid w:val="00F51C82"/>
    <w:rsid w:val="00F638D6"/>
    <w:rsid w:val="00F71EC9"/>
    <w:rsid w:val="00F736D6"/>
    <w:rsid w:val="00F8057F"/>
    <w:rsid w:val="00FB1E3A"/>
    <w:rsid w:val="00FB267B"/>
    <w:rsid w:val="00FB737E"/>
    <w:rsid w:val="00FC03B2"/>
    <w:rsid w:val="00FE2568"/>
    <w:rsid w:val="00FE6838"/>
    <w:rsid w:val="00FF3FF8"/>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613ACBFC-CE2A-4F87-A77C-14E02B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8A6428"/>
    <w:rPr>
      <w:color w:val="0563C1" w:themeColor="hyperlink"/>
      <w:u w:val="single"/>
    </w:rPr>
  </w:style>
  <w:style w:type="character" w:styleId="Mencinsinresolver">
    <w:name w:val="Unresolved Mention"/>
    <w:basedOn w:val="Fuentedeprrafopredeter"/>
    <w:uiPriority w:val="99"/>
    <w:semiHidden/>
    <w:unhideWhenUsed/>
    <w:rsid w:val="008A6428"/>
    <w:rPr>
      <w:color w:val="605E5C"/>
      <w:shd w:val="clear" w:color="auto" w:fill="E1DFDD"/>
    </w:rPr>
  </w:style>
  <w:style w:type="character" w:styleId="Hipervnculovisitado">
    <w:name w:val="FollowedHyperlink"/>
    <w:basedOn w:val="Fuentedeprrafopredeter"/>
    <w:uiPriority w:val="99"/>
    <w:semiHidden/>
    <w:unhideWhenUsed/>
    <w:rsid w:val="008A64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30583">
      <w:bodyDiv w:val="1"/>
      <w:marLeft w:val="0"/>
      <w:marRight w:val="0"/>
      <w:marTop w:val="0"/>
      <w:marBottom w:val="0"/>
      <w:divBdr>
        <w:top w:val="none" w:sz="0" w:space="0" w:color="auto"/>
        <w:left w:val="none" w:sz="0" w:space="0" w:color="auto"/>
        <w:bottom w:val="none" w:sz="0" w:space="0" w:color="auto"/>
        <w:right w:val="none" w:sz="0" w:space="0" w:color="auto"/>
      </w:divBdr>
      <w:divsChild>
        <w:div w:id="306782437">
          <w:marLeft w:val="0"/>
          <w:marRight w:val="0"/>
          <w:marTop w:val="0"/>
          <w:marBottom w:val="0"/>
          <w:divBdr>
            <w:top w:val="none" w:sz="0" w:space="0" w:color="auto"/>
            <w:left w:val="none" w:sz="0" w:space="0" w:color="auto"/>
            <w:bottom w:val="none" w:sz="0" w:space="0" w:color="auto"/>
            <w:right w:val="none" w:sz="0" w:space="0" w:color="auto"/>
          </w:divBdr>
        </w:div>
      </w:divsChild>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4236554">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38429945">
      <w:bodyDiv w:val="1"/>
      <w:marLeft w:val="0"/>
      <w:marRight w:val="0"/>
      <w:marTop w:val="0"/>
      <w:marBottom w:val="0"/>
      <w:divBdr>
        <w:top w:val="none" w:sz="0" w:space="0" w:color="auto"/>
        <w:left w:val="none" w:sz="0" w:space="0" w:color="auto"/>
        <w:bottom w:val="none" w:sz="0" w:space="0" w:color="auto"/>
        <w:right w:val="none" w:sz="0" w:space="0" w:color="auto"/>
      </w:divBdr>
      <w:divsChild>
        <w:div w:id="1871796171">
          <w:marLeft w:val="0"/>
          <w:marRight w:val="0"/>
          <w:marTop w:val="0"/>
          <w:marBottom w:val="0"/>
          <w:divBdr>
            <w:top w:val="none" w:sz="0" w:space="0" w:color="auto"/>
            <w:left w:val="none" w:sz="0" w:space="0" w:color="auto"/>
            <w:bottom w:val="none" w:sz="0" w:space="0" w:color="auto"/>
            <w:right w:val="none" w:sz="0" w:space="0" w:color="auto"/>
          </w:divBdr>
        </w:div>
      </w:divsChild>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30227350">
      <w:bodyDiv w:val="1"/>
      <w:marLeft w:val="0"/>
      <w:marRight w:val="0"/>
      <w:marTop w:val="0"/>
      <w:marBottom w:val="0"/>
      <w:divBdr>
        <w:top w:val="none" w:sz="0" w:space="0" w:color="auto"/>
        <w:left w:val="none" w:sz="0" w:space="0" w:color="auto"/>
        <w:bottom w:val="none" w:sz="0" w:space="0" w:color="auto"/>
        <w:right w:val="none" w:sz="0" w:space="0" w:color="auto"/>
      </w:divBdr>
      <w:divsChild>
        <w:div w:id="8870042">
          <w:marLeft w:val="0"/>
          <w:marRight w:val="0"/>
          <w:marTop w:val="0"/>
          <w:marBottom w:val="0"/>
          <w:divBdr>
            <w:top w:val="none" w:sz="0" w:space="0" w:color="auto"/>
            <w:left w:val="none" w:sz="0" w:space="0" w:color="auto"/>
            <w:bottom w:val="none" w:sz="0" w:space="0" w:color="auto"/>
            <w:right w:val="none" w:sz="0" w:space="0" w:color="auto"/>
          </w:divBdr>
        </w:div>
      </w:divsChild>
    </w:div>
    <w:div w:id="1069769301">
      <w:bodyDiv w:val="1"/>
      <w:marLeft w:val="0"/>
      <w:marRight w:val="0"/>
      <w:marTop w:val="0"/>
      <w:marBottom w:val="0"/>
      <w:divBdr>
        <w:top w:val="none" w:sz="0" w:space="0" w:color="auto"/>
        <w:left w:val="none" w:sz="0" w:space="0" w:color="auto"/>
        <w:bottom w:val="none" w:sz="0" w:space="0" w:color="auto"/>
        <w:right w:val="none" w:sz="0" w:space="0" w:color="auto"/>
      </w:divBdr>
      <w:divsChild>
        <w:div w:id="115678392">
          <w:marLeft w:val="0"/>
          <w:marRight w:val="0"/>
          <w:marTop w:val="0"/>
          <w:marBottom w:val="0"/>
          <w:divBdr>
            <w:top w:val="none" w:sz="0" w:space="0" w:color="auto"/>
            <w:left w:val="none" w:sz="0" w:space="0" w:color="auto"/>
            <w:bottom w:val="none" w:sz="0" w:space="0" w:color="auto"/>
            <w:right w:val="none" w:sz="0" w:space="0" w:color="auto"/>
          </w:divBdr>
        </w:div>
      </w:divsChild>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344519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40512768">
      <w:bodyDiv w:val="1"/>
      <w:marLeft w:val="0"/>
      <w:marRight w:val="0"/>
      <w:marTop w:val="0"/>
      <w:marBottom w:val="0"/>
      <w:divBdr>
        <w:top w:val="none" w:sz="0" w:space="0" w:color="auto"/>
        <w:left w:val="none" w:sz="0" w:space="0" w:color="auto"/>
        <w:bottom w:val="none" w:sz="0" w:space="0" w:color="auto"/>
        <w:right w:val="none" w:sz="0" w:space="0" w:color="auto"/>
      </w:divBdr>
      <w:divsChild>
        <w:div w:id="1276714505">
          <w:marLeft w:val="0"/>
          <w:marRight w:val="0"/>
          <w:marTop w:val="0"/>
          <w:marBottom w:val="0"/>
          <w:divBdr>
            <w:top w:val="none" w:sz="0" w:space="0" w:color="auto"/>
            <w:left w:val="none" w:sz="0" w:space="0" w:color="auto"/>
            <w:bottom w:val="none" w:sz="0" w:space="0" w:color="auto"/>
            <w:right w:val="none" w:sz="0" w:space="0" w:color="auto"/>
          </w:divBdr>
        </w:div>
      </w:divsChild>
    </w:div>
    <w:div w:id="1553803954">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01526294">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97359558">
      <w:bodyDiv w:val="1"/>
      <w:marLeft w:val="0"/>
      <w:marRight w:val="0"/>
      <w:marTop w:val="0"/>
      <w:marBottom w:val="0"/>
      <w:divBdr>
        <w:top w:val="none" w:sz="0" w:space="0" w:color="auto"/>
        <w:left w:val="none" w:sz="0" w:space="0" w:color="auto"/>
        <w:bottom w:val="none" w:sz="0" w:space="0" w:color="auto"/>
        <w:right w:val="none" w:sz="0" w:space="0" w:color="auto"/>
      </w:divBdr>
      <w:divsChild>
        <w:div w:id="324359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community.secop.gov.co/Public/Tendering/OpportunityDetail/Index?noticeUID=CO1.NTC.7320333&amp;isFromPublicArea=True&amp;isModal=true&amp;asPopupView=true" TargetMode="External"/><Relationship Id="rId14" Type="http://schemas.openxmlformats.org/officeDocument/2006/relationships/image" Target="media/image7.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2614</Words>
  <Characters>14380</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LUISA FERNANDA AVILA MARTINEZ</cp:lastModifiedBy>
  <cp:revision>6</cp:revision>
  <cp:lastPrinted>2025-09-01T22:31:00Z</cp:lastPrinted>
  <dcterms:created xsi:type="dcterms:W3CDTF">2025-10-01T03:30:00Z</dcterms:created>
  <dcterms:modified xsi:type="dcterms:W3CDTF">2025-10-01T04:13:00Z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22275-4c64-4f10-aede-845397ca51ae_Enabled">
    <vt:lpwstr>true</vt:lpwstr>
  </property>
  <property fmtid="{D5CDD505-2E9C-101B-9397-08002B2CF9AE}" pid="3" name="MSIP_Label_8f722275-4c64-4f10-aede-845397ca51ae_SetDate">
    <vt:lpwstr>2025-03-31T18:06:46Z</vt:lpwstr>
  </property>
  <property fmtid="{D5CDD505-2E9C-101B-9397-08002B2CF9AE}" pid="4" name="MSIP_Label_8f722275-4c64-4f10-aede-845397ca51ae_Method">
    <vt:lpwstr>Standard</vt:lpwstr>
  </property>
  <property fmtid="{D5CDD505-2E9C-101B-9397-08002B2CF9AE}" pid="5" name="MSIP_Label_8f722275-4c64-4f10-aede-845397ca51ae_Name">
    <vt:lpwstr>defa4170-0d19-0005-0004-bc88714345d2</vt:lpwstr>
  </property>
  <property fmtid="{D5CDD505-2E9C-101B-9397-08002B2CF9AE}" pid="6" name="MSIP_Label_8f722275-4c64-4f10-aede-845397ca51ae_SiteId">
    <vt:lpwstr>c0402087-26a2-49a4-8cac-c6ad73d81efb</vt:lpwstr>
  </property>
  <property fmtid="{D5CDD505-2E9C-101B-9397-08002B2CF9AE}" pid="7" name="MSIP_Label_8f722275-4c64-4f10-aede-845397ca51ae_ActionId">
    <vt:lpwstr>78427f54-8e65-440c-a484-6d72e6fa0f00</vt:lpwstr>
  </property>
  <property fmtid="{D5CDD505-2E9C-101B-9397-08002B2CF9AE}" pid="8" name="MSIP_Label_8f722275-4c64-4f10-aede-845397ca51ae_ContentBits">
    <vt:lpwstr>0</vt:lpwstr>
  </property>
  <property fmtid="{D5CDD505-2E9C-101B-9397-08002B2CF9AE}" pid="9" name="MSIP_Label_8f722275-4c64-4f10-aede-845397ca51ae_Tag">
    <vt:lpwstr>10, 3, 0, 1</vt:lpwstr>
  </property>
</Properties>
</file>